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State-dependent shear-suppression closures for reduced tokamak transport: a controlled comparison, admissibility conditions and a fold of the steady state</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Turbulent heat transport in tokamaks is stiff and is suppressed by sheared E×B flow, so a closure in which the heat diffusivity depends on the local shearing rate is state dependent. We study such a closure in a reduced model: a one-dimensional radial energy equation with fusion heating, closed by a critical-gradient diffusivity divided by 1 + (ω</w:t>
      </w:r>
      <w:r>
        <w:rPr>
          <w:vertAlign w:val="subscript"/>
        </w:rPr>
        <w:t>E</w:t>
      </w:r>
      <w:r>
        <w:t>/s</w:t>
      </w:r>
      <w:r>
        <w:rPr>
          <w:vertAlign w:val="subscript"/>
        </w:rPr>
        <w:t>c</w:t>
      </w:r>
      <w:r>
        <w:t>γ</w:t>
      </w:r>
      <w:r>
        <w:rPr>
          <w:vertAlign w:val="subscript"/>
        </w:rPr>
        <w:t>0</w:t>
      </w:r>
      <w:r>
        <w:t>)</w:t>
      </w:r>
      <w:r>
        <w:rPr>
          <w:vertAlign w:val="superscript"/>
        </w:rPr>
        <w:t>2</w:t>
      </w:r>
      <w:r>
        <w:t>, and a toroidal-rotation equation with a shear-dependent viscosity. Geometry, density, field, heating and boundary conditions are identical in every run, so only the closure differs. The solver is verified by power balance (residual below 10</w:t>
      </w:r>
      <w:r>
        <w:rPr>
          <w:vertAlign w:val="superscript"/>
        </w:rPr>
        <w:t>−9</w:t>
      </w:r>
      <w:r>
        <w:t xml:space="preserve"> of the heating), exact recovery of the baseline as s</w:t>
      </w:r>
      <w:r>
        <w:rPr>
          <w:vertAlign w:val="subscript"/>
        </w:rPr>
        <w:t>c</w:t>
      </w:r>
      <w:r>
        <w:t xml:space="preserve"> → ∞, independent time integration and grid convergence. With diamagnetic shear alone the fusion gain Q (baseline 3.70) rises by 0.07%, 0.27% and 0.8% at s</w:t>
      </w:r>
      <w:r>
        <w:rPr>
          <w:vertAlign w:val="subscript"/>
        </w:rPr>
        <w:t>c</w:t>
      </w:r>
      <w:r>
        <w:t xml:space="preserve"> = 1, 0.5 and 0.3, and by 12% at s</w:t>
      </w:r>
      <w:r>
        <w:rPr>
          <w:vertAlign w:val="subscript"/>
        </w:rPr>
        <w:t>c</w:t>
      </w:r>
      <w:r>
        <w:t xml:space="preserve"> = 0.1; the steady state then ends in a fold at s</w:t>
      </w:r>
      <w:r>
        <w:rPr>
          <w:vertAlign w:val="subscript"/>
        </w:rPr>
        <w:t>c</w:t>
      </w:r>
      <w:r>
        <w:rPr>
          <w:vertAlign w:val="superscript"/>
        </w:rPr>
        <w:t>*</w:t>
      </w:r>
      <w:r>
        <w:t xml:space="preserve"> = 0.047, where Q is about 14.7 and below which no steady state exists. For the rotation equation, the steady flux relation F(Λ)Λ = Θ gives closed-form admissibility conditions (m ≤ 1 for F = 1/(1 + Λ</w:t>
      </w:r>
      <w:r>
        <w:rPr>
          <w:vertAlign w:val="superscript"/>
        </w:rPr>
        <w:t>m</w:t>
      </w:r>
      <w:r>
        <w:t>); viscosity floors 1/9 and 0.3086) and the fold and hysteresis window; direct solutions reproduce the flux relation to 5×10</w:t>
      </w:r>
      <w:r>
        <w:rPr>
          <w:vertAlign w:val="superscript"/>
        </w:rPr>
        <w:t>−11</w:t>
      </w:r>
      <w:r>
        <w:t xml:space="preserve"> and the predicted fold, saturation and hysteresis window. Torque-driven shear adds to the diamagnetic shear and raises Q by 34% at 200 N m for s</w:t>
      </w:r>
      <w:r>
        <w:rPr>
          <w:vertAlign w:val="subscript"/>
        </w:rPr>
        <w:t>c</w:t>
      </w:r>
      <w:r>
        <w:t xml:space="preserve"> = 0.5. All parameters are illustrative; no experimental data are used.</w:t>
      </w:r>
    </w:p>
    <w:p>
      <w:pPr>
        <w:pStyle w:val="Heading1"/>
      </w:pPr>
      <w:r>
        <w:rPr>
          <w:rFonts w:ascii="Times New Roman" w:hAnsi="Times New Roman"/>
        </w:rPr>
        <w:t>1. Introduction</w:t>
      </w:r>
    </w:p>
    <w:p>
      <w:pPr>
        <w:keepNext w:val="0"/>
        <w:jc w:val="both"/>
      </w:pPr>
      <w:r>
        <w:t>Predicting energy confinement in a tokamak requires a model of the transport driven by micro-turbulence. The transport is stiff: above a critical normalised temperature gradient a small increase of the gradient produces a large increase of the heat flux, so that profiles are pinned close to marginal stability (Dimits et al. 2000; Kotschenreuther et al. 1995). Sheared E×B flow can decorrelate the turbulence and reduce the transport; this mechanism underlies the edge transport barrier and many improved-confinement regimes (Biglari et al. 1990; Hahm &amp; Burrell 1995; Burrell 1997; Terry 2000), and quench rules of the form 'turbulence is suppressed when the shearing rate exceeds a growth-rate scale' are used in transport models (Waltz et al. 1994). A closure that encodes this physics is state dependent: the shearing rate is itself a function of the evolving profile, steeper pressure gradients raise it, and a larger shearing rate lowers the diffusivity and steepens the gradient further. Positive feedback of this kind is the standard route to bistability and hysteresis in models of the L–H transition (Itoh &amp; Itoh 1988; Hinton 1991).</w:t>
      </w:r>
    </w:p>
    <w:p>
      <w:pPr>
        <w:keepNext w:val="0"/>
        <w:jc w:val="both"/>
      </w:pPr>
      <w:r>
        <w:t>The question addressed here is deliberately narrow: if a closure of this type is added to a stiff critical-gradient baseline, under controlled conditions, how much does it change the fusion gain, and is the answer numerically trustworthy? The paper contributes four things. (i) A verified reduced-model testbed in which only the closure differs between runs (Sections 2 and 4). (ii) Closed-form conditions on the shear dependence of a flux closure under which the steady balance has a solution for every drive, with the fold and hysteresis predicted when the condition fails; they are applied to a rotation equation with a shear-dependent viscosity and tested against direct solutions (Sections 3 and 5.5). (iii) The behaviour of the heat closure itself: a grid-converged gain that is below one per cent at moderate coupling, and a fold of the steady state, located by pseudo-arclength continuation, at which the gain rises steeply and below which no steady state exists (Sections 5.1–5.4). (iv) A one-way coupling in which torque-driven shear adds to the diamagnetic shear (Section 5.6). Nothing is fitted to experiment, no new fluid equation is proposed, and the model makes no claim to describe a specific device: the results are statements about the closure in this model, not predictions for a machine.</w:t>
      </w:r>
    </w:p>
    <w:p>
      <w:pPr>
        <w:pStyle w:val="Heading1"/>
      </w:pPr>
      <w:r>
        <w:rPr>
          <w:rFonts w:ascii="Times New Roman" w:hAnsi="Times New Roman"/>
        </w:rPr>
        <w:t>2. Model</w:t>
      </w:r>
    </w:p>
    <w:p>
      <w:pPr>
        <w:pStyle w:val="Heading2"/>
      </w:pPr>
      <w:r>
        <w:rPr>
          <w:rFonts w:ascii="Times New Roman" w:hAnsi="Times New Roman"/>
        </w:rPr>
        <w:t>2.1 Energy balance</w:t>
      </w:r>
    </w:p>
    <w:p>
      <w:pPr>
        <w:keepNext w:val="0"/>
        <w:jc w:val="both"/>
      </w:pPr>
      <w:r>
        <w:t>The thermal state is described by one temperature T(r) (electrons and ions equal) on a circular torus with flux-surface radius r ∈ [0, a], major radius R</w:t>
      </w:r>
      <w:r>
        <w:rPr>
          <w:vertAlign w:val="subscript"/>
        </w:rPr>
        <w:t>0</w:t>
      </w:r>
      <w:r>
        <w:t xml:space="preserve"> and fixed profiles of density n(r) and safety factor q(r). The thermal energy density is 3nT, so that a diffusivity χ acting on the energy per particle gives the heat flux −3nχ ∂</w:t>
      </w:r>
      <w:r>
        <w:rPr>
          <w:vertAlign w:val="subscript"/>
        </w:rPr>
        <w:t>r</w:t>
      </w:r>
      <w:r>
        <w:t>T (T in energy units). The reduced energy equation is</w:t>
      </w:r>
    </w:p>
    <w:p>
      <w:pPr>
        <w:keepLines/>
        <w:tabs>
          <w:tab w:pos="4680" w:val="center"/>
          <w:tab w:pos="9360" w:val="right"/>
        </w:tabs>
        <w:spacing w:before="120" w:after="120"/>
      </w:pPr>
      <w:r>
        <w:tab/>
      </w:r>
      <m:oMath>
        <m:r>
          <m:rPr>
            <m:nor/>
          </m:rPr>
          <w:rPr>
            <w:rFonts w:ascii="Cambria Math" w:hAnsi="Cambria Math"/>
            <w:i w:val="0"/>
          </w:rPr>
          <m:t xml:space="preserve">3</m:t>
        </m:r>
        <m:r>
          <m:rPr>
            <m:sty m:val="i"/>
          </m:rPr>
          <w:rPr>
            <w:rFonts w:ascii="Cambria Math" w:hAnsi="Cambria Math"/>
            <w:i/>
          </w:rPr>
          <m:t xml:space="preserve">n</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t</m:t>
            </m:r>
          </m:sub>
        </m:sSub>
        <m:r>
          <m:rPr>
            <m:sty m:val="i"/>
          </m:rPr>
          <w:rPr>
            <w:rFonts w:ascii="Cambria Math" w:hAnsi="Cambria Math"/>
            <w:i/>
          </w:rPr>
          <m:t xml:space="preserve">T</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r</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d>
          <m:dPr>
            <m:begChr m:val="["/>
            <m:endChr m:val="]"/>
            <m:ctrlPr>
              <w:rPr>
                <w:rFonts w:ascii="Cambria Math" w:hAnsi="Cambria Math"/>
                <w:i/>
              </w:rPr>
            </m:ctrlPr>
          </m:dPr>
          <m:e>
            <m:r>
              <m:rPr>
                <m:nor/>
              </m:rPr>
              <w:rPr>
                <w:rFonts w:ascii="Cambria Math" w:hAnsi="Cambria Math"/>
                <w:i w:val="0"/>
              </w:rPr>
              <m:t xml:space="preserve">3</m:t>
            </m:r>
            <m:r>
              <m:rPr>
                <m:sty m:val="i"/>
              </m:rPr>
              <w:rPr>
                <w:rFonts w:ascii="Cambria Math" w:hAnsi="Cambria Math"/>
                <w:i/>
              </w:rPr>
              <m:t xml:space="preserve">r n χ</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T</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aux</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α</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rad</m:t>
            </m:r>
          </m:sub>
        </m:sSub>
        <m:r>
          <m:rPr>
            <m:nor/>
          </m:rPr>
          <w:rPr>
            <w:rFonts w:ascii="Cambria Math" w:hAnsi="Cambria Math"/>
            <w:i w:val="0"/>
          </w:rPr>
          <m:t xml:space="preserve">,</m:t>
        </m:r>
      </m:oMath>
      <w:r>
        <w:tab/>
        <w:t xml:space="preserve">(1)</w:t>
      </w:r>
    </w:p>
    <w:p>
      <w:pPr>
        <w:keepNext w:val="0"/>
        <w:jc w:val="both"/>
      </w:pPr>
      <w:r>
        <w:t>with a Gaussian auxiliary source of total power P</w:t>
      </w:r>
      <w:r>
        <w:rPr>
          <w:vertAlign w:val="subscript"/>
        </w:rPr>
        <w:t>aux</w:t>
      </w:r>
      <w:r>
        <w:t>, local alpha heating S</w:t>
      </w:r>
      <w:r>
        <w:rPr>
          <w:vertAlign w:val="subscript"/>
        </w:rPr>
        <w:t>α</w:t>
      </w:r>
      <w:r>
        <w:t xml:space="preserve"> = (n²/4)⟨σv⟩E</w:t>
      </w:r>
      <w:r>
        <w:rPr>
          <w:vertAlign w:val="subscript"/>
        </w:rPr>
        <w:t>α</w:t>
      </w:r>
      <w:r>
        <w:t xml:space="preserve"> for a 50:50 deuterium–tritium mixture with E</w:t>
      </w:r>
      <w:r>
        <w:rPr>
          <w:vertAlign w:val="subscript"/>
        </w:rPr>
        <w:t>α</w:t>
      </w:r>
      <w:r>
        <w:t xml:space="preserve"> = 3.5 MeV and the Bosch–Hale reactivity (Bosch &amp; Hale 1992), and bremsstrahlung S</w:t>
      </w:r>
      <w:r>
        <w:rPr>
          <w:vertAlign w:val="subscript"/>
        </w:rPr>
        <w:t>rad</w:t>
      </w:r>
      <w:r>
        <w:t xml:space="preserve"> = 5.35×10</w:t>
      </w:r>
      <w:r>
        <w:rPr>
          <w:vertAlign w:val="superscript"/>
        </w:rPr>
        <w:t>−37</w:t>
      </w:r>
      <w:r>
        <w:t xml:space="preserve"> n² T</w:t>
      </w:r>
      <w:r>
        <w:rPr>
          <w:vertAlign w:val="superscript"/>
        </w:rPr>
        <w:t>1/2</w:t>
      </w:r>
      <w:r>
        <w:t xml:space="preserve"> W m</w:t>
      </w:r>
      <w:r>
        <w:rPr>
          <w:vertAlign w:val="superscript"/>
        </w:rPr>
        <w:t>−3</w:t>
      </w:r>
      <w:r>
        <w:t xml:space="preserve"> (T in keV, Z</w:t>
      </w:r>
      <w:r>
        <w:rPr>
          <w:vertAlign w:val="subscript"/>
        </w:rPr>
        <w:t>eff</w:t>
      </w:r>
      <w:r>
        <w:t xml:space="preserve"> = 1). The fusion power is P</w:t>
      </w:r>
      <w:r>
        <w:rPr>
          <w:vertAlign w:val="subscript"/>
        </w:rPr>
        <w:t>fus</w:t>
      </w:r>
      <w:r>
        <w:t xml:space="preserve"> = 5P</w:t>
      </w:r>
      <w:r>
        <w:rPr>
          <w:vertAlign w:val="subscript"/>
        </w:rPr>
        <w:t>α</w:t>
      </w:r>
      <w:r>
        <w:t>, the gain Q = P</w:t>
      </w:r>
      <w:r>
        <w:rPr>
          <w:vertAlign w:val="subscript"/>
        </w:rPr>
        <w:t>fus</w:t>
      </w:r>
      <w:r>
        <w:t>/P</w:t>
      </w:r>
      <w:r>
        <w:rPr>
          <w:vertAlign w:val="subscript"/>
        </w:rPr>
        <w:t>aux</w:t>
      </w:r>
      <w:r>
        <w:t>, and the energy confinement time τ</w:t>
      </w:r>
      <w:r>
        <w:rPr>
          <w:vertAlign w:val="subscript"/>
        </w:rPr>
        <w:t>E</w:t>
      </w:r>
      <w:r>
        <w:t xml:space="preserve"> = W/(P</w:t>
      </w:r>
      <w:r>
        <w:rPr>
          <w:vertAlign w:val="subscript"/>
        </w:rPr>
        <w:t>aux</w:t>
      </w:r>
      <w:r>
        <w:t xml:space="preserve"> + P</w:t>
      </w:r>
      <w:r>
        <w:rPr>
          <w:vertAlign w:val="subscript"/>
        </w:rPr>
        <w:t>α</w:t>
      </w:r>
      <w:r>
        <w:t xml:space="preserve"> − P</w:t>
      </w:r>
      <w:r>
        <w:rPr>
          <w:vertAlign w:val="subscript"/>
        </w:rPr>
        <w:t>rad</w:t>
      </w:r>
      <w:r>
        <w:t>) with W the thermal energy at steady state. The edge temperature is fixed, T(a) = 4 keV, and ∂</w:t>
      </w:r>
      <w:r>
        <w:rPr>
          <w:vertAlign w:val="subscript"/>
        </w:rPr>
        <w:t>r</w:t>
      </w:r>
      <w:r>
        <w:t>T = 0 on the axis. Table 1 lists the illustrative parameters; they are generic reactor-scale values, not a model of a specific device. The stiffness parameters were chosen once, before the shear closure was examined, so that the baseline burns without igniting (Q ≈ 4 at 40 MW), and were not adjusted afterwards. The model is a reduction of the single-fluid magnetohydrodynamic description (Freidberg 2014; Wesson 2011) to the thermal-transport coefficient: no fluid equation is modified.</w:t>
      </w:r>
    </w:p>
    <w:p>
      <w:pPr>
        <w:pStyle w:val="Heading2"/>
      </w:pPr>
      <w:r>
        <w:rPr>
          <w:rFonts w:ascii="Times New Roman" w:hAnsi="Times New Roman"/>
        </w:rPr>
        <w:t>2.2 Baseline and state-dependent heat closures</w:t>
      </w:r>
    </w:p>
    <w:p>
      <w:pPr>
        <w:keepNext w:val="0"/>
        <w:jc w:val="both"/>
      </w:pPr>
      <w:r>
        <w:t>The baseline diffusivity is a smoothed critical-gradient form,</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base</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s</m:t>
            </m:r>
          </m:sub>
        </m:sSub>
        <m:r>
          <m:rPr>
            <m:sty m:val="i"/>
          </m:rPr>
          <w:rPr>
            <w:rFonts w:ascii="Cambria Math" w:hAnsi="Cambria Math"/>
            <w:i/>
          </w:rPr>
          <m:t xml:space="preserve">w</m:t>
        </m:r>
        <m:r>
          <m:rPr>
            <m:nor/>
          </m:rPr>
          <w:rPr>
            <w:rFonts w:ascii="Cambria Math" w:hAnsi="Cambria Math"/>
            <w:i w:val="0"/>
          </w:rPr>
          <m:t xml:space="preserve"> ln</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κ</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m:t>
                        </m:r>
                      </m:sub>
                    </m:sSub>
                  </m:num>
                  <m:den>
                    <m:r>
                      <m:rPr>
                        <m:sty m:val="i"/>
                      </m:rPr>
                      <w:rPr>
                        <w:rFonts w:ascii="Cambria Math" w:hAnsi="Cambria Math"/>
                        <w:i/>
                      </w:rPr>
                      <m:t xml:space="preserve">w</m:t>
                    </m:r>
                  </m:den>
                </m:f>
              </m:e>
            </m:d>
          </m:e>
        </m:d>
        <m:r>
          <m:rPr>
            <m:nor/>
          </m:rPr>
          <w:rPr>
            <w:rFonts w:ascii="Cambria Math" w:hAnsi="Cambria Math"/>
            <w:i w:val="0"/>
          </w:rPr>
          <m:t xml:space="preserve">,   </m:t>
        </m:r>
        <m:r>
          <m:rPr>
            <m:sty m:val="i"/>
          </m:rPr>
          <w:rPr>
            <w:rFonts w:ascii="Cambria Math" w:hAnsi="Cambria Math"/>
            <w:i/>
          </w:rPr>
          <m:t xml:space="preserve">κ</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T</m:t>
            </m:r>
            <m:r>
              <m:rPr>
                <m:nor/>
              </m:rPr>
              <w:rPr>
                <w:rFonts w:ascii="Cambria Math" w:hAnsi="Cambria Math"/>
                <w:i w:val="0"/>
              </w:rPr>
              <m:t xml:space="preserve">|</m:t>
            </m:r>
          </m:num>
          <m:den>
            <m:r>
              <m:rPr>
                <m:sty m:val="i"/>
              </m:rPr>
              <w:rPr>
                <w:rFonts w:ascii="Cambria Math" w:hAnsi="Cambria Math"/>
                <w:i/>
              </w:rPr>
              <m:t xml:space="preserve">T</m:t>
            </m:r>
          </m:den>
        </m:f>
        <m:r>
          <m:rPr>
            <m:nor/>
          </m:rPr>
          <w:rPr>
            <w:rFonts w:ascii="Cambria Math" w:hAnsi="Cambria Math"/>
            <w:i w:val="0"/>
          </w:rPr>
          <m:t xml:space="preserve">,</m:t>
        </m:r>
      </m:oMath>
      <w:r>
        <w:tab/>
        <w:t xml:space="preserve">(2)</w:t>
      </w:r>
    </w:p>
    <w:p>
      <w:pPr>
        <w:keepNext w:val="0"/>
        <w:jc w:val="both"/>
      </w:pPr>
      <w:r>
        <w:t>with χ</w:t>
      </w:r>
      <w:r>
        <w:rPr>
          <w:vertAlign w:val="subscript"/>
        </w:rPr>
        <w:t>n</w:t>
      </w:r>
      <w:r>
        <w:t xml:space="preserve"> = 0.3 m² s</w:t>
      </w:r>
      <w:r>
        <w:rPr>
          <w:vertAlign w:val="superscript"/>
        </w:rPr>
        <w:t>−1</w:t>
      </w:r>
      <w:r>
        <w:t>, χ</w:t>
      </w:r>
      <w:r>
        <w:rPr>
          <w:vertAlign w:val="subscript"/>
        </w:rPr>
        <w:t>s</w:t>
      </w:r>
      <w:r>
        <w:t xml:space="preserve"> = 1.0 m² s</w:t>
      </w:r>
      <w:r>
        <w:rPr>
          <w:vertAlign w:val="superscript"/>
        </w:rPr>
        <w:t>−1</w:t>
      </w:r>
      <w:r>
        <w:t>, κ</w:t>
      </w:r>
      <w:r>
        <w:rPr>
          <w:vertAlign w:val="subscript"/>
        </w:rPr>
        <w:t>c</w:t>
      </w:r>
      <w:r>
        <w:t xml:space="preserve"> = 4 and w = 0.5. The state-dependent closure divides it by a shear-suppression factor,</w:t>
      </w:r>
    </w:p>
    <w:p>
      <w:pPr>
        <w:keepLines/>
        <w:tabs>
          <w:tab w:pos="4680" w:val="center"/>
          <w:tab w:pos="9360" w:val="right"/>
        </w:tabs>
        <w:spacing w:before="120" w:after="120"/>
      </w:pPr>
      <w:r>
        <w:tab/>
      </w:r>
      <m:oMath>
        <m:r>
          <m:rPr>
            <m:sty m:val="i"/>
          </m:rPr>
          <w:rPr>
            <w:rFonts w:ascii="Cambria Math" w:hAnsi="Cambria Math"/>
            <w:i/>
          </w:rPr>
          <m:t xml:space="preserve">χ</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base</m:t>
                </m:r>
              </m:sub>
            </m:sSub>
          </m:num>
          <m:den>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E</m:t>
                            </m:r>
                          </m:sub>
                        </m:sSub>
                      </m:num>
                      <m:den>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c</m:t>
                            </m:r>
                          </m:sub>
                        </m:sSub>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den>
                    </m:f>
                  </m:e>
                </m:d>
              </m:e>
              <m:sup>
                <m:r>
                  <m:rPr>
                    <m:nor/>
                  </m:rPr>
                  <w:rPr>
                    <w:rFonts w:ascii="Cambria Math" w:hAnsi="Cambria Math"/>
                    <w:i w:val="0"/>
                  </w:rPr>
                  <m:t xml:space="preserve">2</m:t>
                </m:r>
              </m:sup>
            </m:sSup>
          </m:den>
        </m:f>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s</m:t>
                </m:r>
              </m:sub>
            </m:sSub>
          </m:num>
          <m:den>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den>
        </m:f>
        <m:r>
          <m:rPr>
            <m:nor/>
          </m:rPr>
          <w:rPr>
            <w:rFonts w:ascii="Cambria Math" w:hAnsi="Cambria Math"/>
            <w:i w:val="0"/>
          </w:rPr>
          <m:t xml:space="preserve">,</m:t>
        </m:r>
      </m:oMath>
      <w:r>
        <w:tab/>
        <w:t xml:space="preserve">(3)</w:t>
      </w:r>
    </w:p>
    <w:p>
      <w:pPr>
        <w:keepNext w:val="0"/>
        <w:jc w:val="both"/>
      </w:pPr>
      <w:r>
        <w:t>where γ</w:t>
      </w:r>
      <w:r>
        <w:rPr>
          <w:vertAlign w:val="subscript"/>
        </w:rPr>
        <w:t>0</w:t>
      </w:r>
      <w:r>
        <w:t xml:space="preserve"> = c</w:t>
      </w:r>
      <w:r>
        <w:rPr>
          <w:vertAlign w:val="subscript"/>
        </w:rPr>
        <w:t>s</w:t>
      </w:r>
      <w:r>
        <w:t>/R</w:t>
      </w:r>
      <w:r>
        <w:rPr>
          <w:vertAlign w:val="subscript"/>
        </w:rPr>
        <w:t>0</w:t>
      </w:r>
      <w:r>
        <w:t xml:space="preserve"> is a turbulence-decorrelation-rate proxy (c</w:t>
      </w:r>
      <w:r>
        <w:rPr>
          <w:vertAlign w:val="subscript"/>
        </w:rPr>
        <w:t>s</w:t>
      </w:r>
      <w:r>
        <w:t xml:space="preserve"> = (T/m</w:t>
      </w:r>
      <w:r>
        <w:rPr>
          <w:vertAlign w:val="subscript"/>
        </w:rPr>
        <w:t>i</w:t>
      </w:r>
      <w:r>
        <w:t>)</w:t>
      </w:r>
      <w:r>
        <w:rPr>
          <w:vertAlign w:val="superscript"/>
        </w:rPr>
        <w:t>1/2</w:t>
      </w:r>
      <w:r>
        <w:t>, m</w:t>
      </w:r>
      <w:r>
        <w:rPr>
          <w:vertAlign w:val="subscript"/>
        </w:rPr>
        <w:t>i</w:t>
      </w:r>
      <w:r>
        <w:t xml:space="preserve"> = 2.5 amu) and ω</w:t>
      </w:r>
      <w:r>
        <w:rPr>
          <w:vertAlign w:val="subscript"/>
        </w:rPr>
        <w:t>E</w:t>
      </w:r>
      <w:r>
        <w:t xml:space="preserve"> is the Hahm–Burrell shearing rate (Hahm &amp; Burrell 1995), with the radial electric field from the ion pressure-gradient balance: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E</m:t>
            </m:r>
          </m:sub>
        </m:sSub>
        <m:r>
          <m:rPr>
            <m:nor/>
          </m:rPr>
          <w:rPr>
            <w:rFonts w:ascii="Cambria Math" w:hAnsi="Cambria Math"/>
            <w:i w:val="0"/>
          </w:rPr>
          <m:t xml:space="preserve"> = </m:t>
        </m:r>
        <m:r>
          <m:rPr>
            <m:nor/>
          </m:rPr>
          <w:rPr>
            <w:rFonts w:ascii="Cambria Math" w:hAnsi="Cambria Math"/>
            <w:i w:val="0"/>
          </w:rPr>
          <m:t xml:space="preserve">|</m:t>
        </m:r>
        <m:f>
          <m:fPr>
            <m:ctrlPr>
              <w:rPr>
                <w:rFonts w:ascii="Cambria Math" w:hAnsi="Cambria Math"/>
                <w:i/>
              </w:rPr>
            </m:ctrlPr>
          </m:fPr>
          <m:num>
            <m:r>
              <m:rPr>
                <m:sty m:val="i"/>
              </m:rPr>
              <w:rPr>
                <w:rFonts w:ascii="Cambria Math" w:hAnsi="Cambria Math"/>
                <w:i/>
              </w:rPr>
              <m:t xml:space="preserve">r</m:t>
            </m:r>
          </m:num>
          <m:den>
            <m:r>
              <m:rPr>
                <m:sty m:val="i"/>
              </m:rPr>
              <w:rPr>
                <w:rFonts w:ascii="Cambria Math" w:hAnsi="Cambria Math"/>
                <w:i/>
              </w:rPr>
              <m:t xml:space="preserve">q</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q</m:t>
                </m:r>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r</m:t>
                    </m:r>
                  </m:sub>
                </m:sSub>
              </m:num>
              <m:den>
                <m:r>
                  <m:rPr>
                    <m:sty m:val="i"/>
                  </m:rPr>
                  <w:rPr>
                    <w:rFonts w:ascii="Cambria Math" w:hAnsi="Cambria Math"/>
                    <w:i/>
                  </w:rPr>
                  <m:t xml:space="preserve">r B</m:t>
                </m:r>
              </m:den>
            </m:f>
          </m:e>
        </m:d>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r</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e n</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p</m:t>
        </m:r>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 = </m:t>
        </m:r>
        <m:r>
          <m:rPr>
            <m:sty m:val="i"/>
          </m:rPr>
          <w:rPr>
            <w:rFonts w:ascii="Cambria Math" w:hAnsi="Cambria Math"/>
            <w:i/>
          </w:rPr>
          <m:t xml:space="preserve">n T</m:t>
        </m:r>
        <m:r>
          <m:rPr>
            <m:nor/>
          </m:rPr>
          <w:rPr>
            <w:rFonts w:ascii="Cambria Math" w:hAnsi="Cambria Math"/>
            <w:i w:val="0"/>
          </w:rPr>
          <m:t xml:space="preserve">.</m:t>
        </m:r>
      </m:oMath>
      <w:r>
        <w:tab/>
        <w:t xml:space="preserve">(4)</w:t>
      </w:r>
    </w:p>
    <w:p>
      <w:pPr>
        <w:keepNext w:val="0"/>
        <w:jc w:val="both"/>
      </w:pPr>
      <w:r>
        <w:t>The threshold s</w:t>
      </w:r>
      <w:r>
        <w:rPr>
          <w:vertAlign w:val="subscript"/>
        </w:rPr>
        <w:t>c</w:t>
      </w:r>
      <w:r>
        <w:t xml:space="preserve"> is the single new parameter and s</w:t>
      </w:r>
      <w:r>
        <w:rPr>
          <w:vertAlign w:val="subscript"/>
        </w:rPr>
        <w:t>c</w:t>
      </w:r>
      <w:r>
        <w:t xml:space="preserve"> → ∞ recovers the baseline. Because ω</w:t>
      </w:r>
      <w:r>
        <w:rPr>
          <w:vertAlign w:val="subscript"/>
        </w:rPr>
        <w:t>E</w:t>
      </w:r>
      <w:r>
        <w:t xml:space="preserve"> contains the second derivative of the temperature, the factor depends on the evolving profile: steeper pressure gradients raise ω</w:t>
      </w:r>
      <w:r>
        <w:rPr>
          <w:vertAlign w:val="subscript"/>
        </w:rPr>
        <w:t>E</w:t>
      </w:r>
      <w:r>
        <w:t>, lower χ and steepen the gradient further.</w:t>
      </w:r>
    </w:p>
    <w:p>
      <w:pPr>
        <w:pStyle w:val="Heading2"/>
      </w:pPr>
      <w:r>
        <w:rPr>
          <w:rFonts w:ascii="Times New Roman" w:hAnsi="Times New Roman"/>
        </w:rPr>
        <w:t>2.3 Rotation and viscosity closures</w:t>
      </w:r>
    </w:p>
    <w:p>
      <w:pPr>
        <w:keepNext w:val="0"/>
        <w:jc w:val="both"/>
      </w:pPr>
      <w:r>
        <w:t>Toroidal rotation Ω(r, t) obeys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ρ</m:t>
            </m:r>
          </m:e>
          <m:sub>
            <m:r>
              <m:rPr>
                <m:nor/>
              </m:rPr>
              <w:rPr>
                <w:rFonts w:ascii="Cambria Math" w:hAnsi="Cambria Math"/>
                <w:i w:val="0"/>
              </w:rPr>
              <m:t xml:space="preserve">m</m:t>
            </m:r>
          </m:sub>
        </m:sSub>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e>
          <m:sup>
            <m:r>
              <m:rPr>
                <m:nor/>
              </m:rPr>
              <w:rPr>
                <w:rFonts w:ascii="Cambria Math" w:hAnsi="Cambria Math"/>
                <w:i w:val="0"/>
              </w:rPr>
              <m:t xml:space="preserve">2</m:t>
            </m:r>
          </m:sup>
        </m:sSup>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t</m:t>
            </m:r>
          </m:sub>
        </m:sSub>
        <m:r>
          <m:rPr>
            <m:sty m:val="i"/>
          </m:rPr>
          <w:rPr>
            <w:rFonts w:ascii="Cambria Math" w:hAnsi="Cambria Math"/>
            <w:i/>
          </w:rPr>
          <m:t xml:space="preserve">Ω</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r</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d>
          <m:dPr>
            <m:begChr m:val="["/>
            <m:endChr m:val="]"/>
            <m:ctrlPr>
              <w:rPr>
                <w:rFonts w:ascii="Cambria Math" w:hAnsi="Cambria Math"/>
                <w:i/>
              </w:rPr>
            </m:ctrlPr>
          </m:dPr>
          <m:e>
            <m:r>
              <m:rPr>
                <m:sty m:val="i"/>
              </m:rPr>
              <w:rPr>
                <w:rFonts w:ascii="Cambria Math" w:hAnsi="Cambria Math"/>
                <w:i/>
              </w:rPr>
              <m:t xml:space="preserve">r</m:t>
            </m:r>
            <m:sSub>
              <m:sSubPr>
                <m:ctrlPr>
                  <w:rPr>
                    <w:rFonts w:ascii="Cambria Math" w:hAnsi="Cambria Math"/>
                    <w:i/>
                  </w:rPr>
                </m:ctrlPr>
              </m:sSubPr>
              <m:e>
                <m:r>
                  <m:rPr>
                    <m:sty m:val="i"/>
                  </m:rPr>
                  <w:rPr>
                    <w:rFonts w:ascii="Cambria Math" w:hAnsi="Cambria Math"/>
                    <w:i/>
                  </w:rPr>
                  <m:t xml:space="preserve">μ</m:t>
                </m:r>
              </m:e>
              <m:sub>
                <m:r>
                  <m:rPr>
                    <m:nor/>
                  </m:rPr>
                  <w:rPr>
                    <w:rFonts w:ascii="Cambria Math" w:hAnsi="Cambria Math"/>
                    <w:i w:val="0"/>
                  </w:rPr>
                  <m:t xml:space="preserve">eff</m:t>
                </m:r>
              </m:sub>
            </m:sSub>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e>
              <m:sup>
                <m:r>
                  <m:rPr>
                    <m:nor/>
                  </m:rPr>
                  <w:rPr>
                    <w:rFonts w:ascii="Cambria Math" w:hAnsi="Cambria Math"/>
                    <w:i w:val="0"/>
                  </w:rPr>
                  <m:t xml:space="preserve">2</m:t>
                </m:r>
              </m:sup>
            </m:sSup>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Ω</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in</m:t>
            </m:r>
          </m:sub>
        </m:sSub>
        <m:r>
          <m:rPr>
            <m:nor/>
          </m:rPr>
          <w:rPr>
            <w:rFonts w:ascii="Cambria Math" w:hAnsi="Cambria Math"/>
            <w:i w:val="0"/>
          </w:rPr>
          <m:t xml:space="preserve">,</m:t>
        </m:r>
      </m:oMath>
      <w:r>
        <w:tab/>
        <w:t xml:space="preserve">(5)</w:t>
      </w:r>
    </w:p>
    <w:p>
      <w:pPr>
        <w:keepNext w:val="0"/>
        <w:jc w:val="both"/>
      </w:pPr>
      <w:r>
        <w:t>with ρ</w:t>
      </w:r>
      <w:r>
        <w:rPr>
          <w:vertAlign w:val="subscript"/>
        </w:rPr>
        <w:t>m</w:t>
      </w:r>
      <w:r>
        <w:t xml:space="preserve"> = n m</w:t>
      </w:r>
      <w:r>
        <w:rPr>
          <w:vertAlign w:val="subscript"/>
        </w:rPr>
        <w:t>i</w:t>
      </w:r>
      <w:r>
        <w:t>, regularity on the axis and Ω(a) = 0. The torque density τ</w:t>
      </w:r>
      <w:r>
        <w:rPr>
          <w:vertAlign w:val="subscript"/>
        </w:rPr>
        <w:t>in</w:t>
      </w:r>
      <w:r>
        <w:t xml:space="preserve"> (N m</w:t>
      </w:r>
      <w:r>
        <w:rPr>
          <w:vertAlign w:val="superscript"/>
        </w:rPr>
        <w:t>−2</w:t>
      </w:r>
      <w:r>
        <w:t>) has a Gaussian profile of width 0.4a and total torque ∫τ</w:t>
      </w:r>
      <w:r>
        <w:rPr>
          <w:vertAlign w:val="subscript"/>
        </w:rPr>
        <w:t>in</w:t>
      </w:r>
      <w:r>
        <w:t>dV = T</w:t>
      </w:r>
      <w:r>
        <w:rPr>
          <w:vertAlign w:val="subscript"/>
        </w:rPr>
        <w:t>tot</w:t>
      </w:r>
      <w:r>
        <w:t>, with dV = 4π²R</w:t>
      </w:r>
      <w:r>
        <w:rPr>
          <w:vertAlign w:val="subscript"/>
        </w:rPr>
        <w:t>0</w:t>
      </w:r>
      <w:r>
        <w:t>r dr. The effective viscosity is μ</w:t>
      </w:r>
      <w:r>
        <w:rPr>
          <w:vertAlign w:val="subscript"/>
        </w:rPr>
        <w:t>eff</w:t>
      </w:r>
      <w:r>
        <w:t xml:space="preserve"> = μ</w:t>
      </w:r>
      <w:r>
        <w:rPr>
          <w:vertAlign w:val="subscript"/>
        </w:rPr>
        <w:t>0</w:t>
      </w:r>
      <w:r>
        <w:t>F(Λ) with μ</w:t>
      </w:r>
      <w:r>
        <w:rPr>
          <w:vertAlign w:val="subscript"/>
        </w:rPr>
        <w:t>0</w:t>
      </w:r>
      <w:r>
        <w:t xml:space="preserve"> = Pr ρ̄ χ</w:t>
      </w:r>
      <w:r>
        <w:rPr>
          <w:vertAlign w:val="subscript"/>
        </w:rPr>
        <w:t>s</w:t>
      </w:r>
      <w:r>
        <w:t xml:space="preserve"> (ρ̄ the radial mean of ρ</w:t>
      </w:r>
      <w:r>
        <w:rPr>
          <w:vertAlign w:val="subscript"/>
        </w:rPr>
        <w:t>m</w:t>
      </w:r>
      <w:r>
        <w:t>; Pr = 1 unless stated; μ</w:t>
      </w:r>
      <w:r>
        <w:rPr>
          <w:vertAlign w:val="subscript"/>
        </w:rPr>
        <w:t>0</w:t>
      </w:r>
      <w:r>
        <w:t xml:space="preserve"> = 3.11×10</w:t>
      </w:r>
      <w:r>
        <w:rPr>
          <w:vertAlign w:val="superscript"/>
        </w:rPr>
        <w:t>−7</w:t>
      </w:r>
      <w:r>
        <w:t xml:space="preserve"> kg m</w:t>
      </w:r>
      <w:r>
        <w:rPr>
          <w:vertAlign w:val="superscript"/>
        </w:rPr>
        <w:t>−1</w:t>
      </w:r>
      <w:r>
        <w:t xml:space="preserve"> s</w:t>
      </w:r>
      <w:r>
        <w:rPr>
          <w:vertAlign w:val="superscript"/>
        </w:rPr>
        <w:t>−1</w:t>
      </w:r>
      <w:r>
        <w:t>), where</w:t>
      </w:r>
    </w:p>
    <w:p>
      <w:pPr>
        <w:keepLines/>
        <w:tabs>
          <w:tab w:pos="4680" w:val="center"/>
          <w:tab w:pos="9360" w:val="right"/>
        </w:tabs>
        <w:spacing w:before="120" w:after="120"/>
      </w:pPr>
      <w:r>
        <w:tab/>
      </w:r>
      <m:oMath>
        <m:r>
          <m:rPr>
            <m:sty m:val="i"/>
          </m:rPr>
          <w:rPr>
            <w:rFonts w:ascii="Cambria Math" w:hAnsi="Cambria Math"/>
            <w:i/>
          </w:rPr>
          <m:t xml:space="preserve">Λ</m:t>
        </m:r>
        <m:r>
          <m:rPr>
            <m:nor/>
          </m:rPr>
          <w:rPr>
            <w:rFonts w:ascii="Cambria Math" w:hAnsi="Cambria Math"/>
            <w:i w:val="0"/>
          </w:rPr>
          <m:t xml:space="preserve"> = </m:t>
        </m:r>
        <m:r>
          <m:rPr>
            <m:sty m:val="i"/>
          </m:rPr>
          <w:rPr>
            <w:rFonts w:ascii="Cambria Math" w:hAnsi="Cambria Math"/>
            <w:i/>
          </w:rPr>
          <m:t xml:space="preserve">κ</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Ω</m:t>
        </m:r>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κ</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r</m:t>
            </m:r>
          </m:num>
          <m:den>
            <m:r>
              <m:rPr>
                <m:sty m:val="i"/>
              </m:rPr>
              <w:rPr>
                <w:rFonts w:ascii="Cambria Math" w:hAnsi="Cambria Math"/>
                <w:i/>
              </w:rPr>
              <m:t xml:space="preserve">q</m:t>
            </m:r>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den>
        </m:f>
        <m:r>
          <m:rPr>
            <m:nor/>
          </m:rPr>
          <w:rPr>
            <w:rFonts w:ascii="Cambria Math" w:hAnsi="Cambria Math"/>
            <w:i w:val="0"/>
          </w:rPr>
          <m:t xml:space="preserve">,   </m:t>
        </m:r>
        <m:r>
          <m:rPr>
            <m:sty m:val="i"/>
          </m:rPr>
          <w:rPr>
            <w:rFonts w:ascii="Cambria Math" w:hAnsi="Cambria Math"/>
            <w:i/>
          </w:rPr>
          <m:t xml:space="preserve">Λ</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rot</m:t>
                </m:r>
              </m:sub>
            </m:sSub>
          </m:num>
          <m:den>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den>
        </m:f>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rot</m:t>
            </m:r>
          </m:sub>
        </m:sSub>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r</m:t>
            </m:r>
          </m:num>
          <m:den>
            <m:r>
              <m:rPr>
                <m:sty m:val="i"/>
              </m:rPr>
              <w:rPr>
                <w:rFonts w:ascii="Cambria Math" w:hAnsi="Cambria Math"/>
                <w:i/>
              </w:rPr>
              <m:t xml:space="preserve">q</m:t>
            </m:r>
          </m:den>
        </m:f>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Ω</m:t>
        </m:r>
        <m:r>
          <m:rPr>
            <m:nor/>
          </m:rPr>
          <w:rPr>
            <w:rFonts w:ascii="Cambria Math" w:hAnsi="Cambria Math"/>
            <w:i w:val="0"/>
          </w:rPr>
          <m:t xml:space="preserve">|</m:t>
        </m:r>
        <m:r>
          <m:rPr>
            <m:nor/>
          </m:rPr>
          <w:rPr>
            <w:rFonts w:ascii="Cambria Math" w:hAnsi="Cambria Math"/>
            <w:i w:val="0"/>
          </w:rPr>
          <m:t xml:space="preserve">.</m:t>
        </m:r>
      </m:oMath>
      <w:r>
        <w:tab/>
        <w:t xml:space="preserve">(6)</w:t>
      </w:r>
    </w:p>
    <w:p>
      <w:pPr>
        <w:keepNext w:val="0"/>
        <w:jc w:val="both"/>
      </w:pPr>
      <w:r>
        <w:t>is the rotation shearing rate in units of γ</w:t>
      </w:r>
      <w:r>
        <w:rPr>
          <w:vertAlign w:val="subscript"/>
        </w:rPr>
        <w:t>0</w:t>
      </w:r>
      <w:r>
        <w:t>. The closure F(Λ) expresses that a sheared rotation profile also suppresses momentum transport. Four forms are used: a constant F = 1; the algebraic form F = 1/(1 + Λ</w:t>
      </w:r>
      <w:r>
        <w:rPr>
          <w:vertAlign w:val="superscript"/>
        </w:rPr>
        <w:t>m</w:t>
      </w:r>
      <w:r>
        <w:t>); the algebraic form with a floor, F = f + (1 − f)/(1 + Λ²); and the exponential form with a floor, F = f + (1 − f)exp(−αΛ²).</w:t>
      </w:r>
    </w:p>
    <w:p>
      <w:pPr>
        <w:pStyle w:val="Heading2"/>
      </w:pPr>
      <w:r>
        <w:rPr>
          <w:rFonts w:ascii="Times New Roman" w:hAnsi="Times New Roman"/>
        </w:rPr>
        <w:t>2.4 Coupling of rotation and heat transport</w:t>
      </w:r>
    </w:p>
    <w:p>
      <w:pPr>
        <w:keepNext w:val="0"/>
        <w:jc w:val="both"/>
      </w:pPr>
      <w:r>
        <w:t>For toroidal rotation the radial electric field contains the term −ΩrB/q, so that qE</w:t>
      </w:r>
      <w:r>
        <w:rPr>
          <w:vertAlign w:val="subscript"/>
        </w:rPr>
        <w:t>r</w:t>
      </w:r>
      <w:r>
        <w:t>/(rB) contains −Ω and the rotation contributes (r/q)∂</w:t>
      </w:r>
      <w:r>
        <w:rPr>
          <w:vertAlign w:val="subscript"/>
        </w:rPr>
        <w:t>r</w:t>
      </w:r>
      <w:r>
        <w:t>Ω to the shearing rate of Eq. (4). With signed contributions ω</w:t>
      </w:r>
      <w:r>
        <w:rPr>
          <w:vertAlign w:val="subscript"/>
        </w:rPr>
        <w:t>dia</w:t>
      </w:r>
      <w:r>
        <w:t xml:space="preserve"> = (r/q)∂</w:t>
      </w:r>
      <w:r>
        <w:rPr>
          <w:vertAlign w:val="subscript"/>
        </w:rPr>
        <w:t>r</w:t>
      </w:r>
      <w:r>
        <w:t>(qE</w:t>
      </w:r>
      <w:r>
        <w:rPr>
          <w:vertAlign w:val="subscript"/>
        </w:rPr>
        <w:t>r</w:t>
      </w:r>
      <w:r>
        <w:t>/rB) from the pressure gradient and ω</w:t>
      </w:r>
      <w:r>
        <w:rPr>
          <w:vertAlign w:val="subscript"/>
        </w:rPr>
        <w:t>rot</w:t>
      </w:r>
      <w:r>
        <w:t xml:space="preserve"> = (r/q)∂</w:t>
      </w:r>
      <w:r>
        <w:rPr>
          <w:vertAlign w:val="subscript"/>
        </w:rPr>
        <w:t>r</w:t>
      </w:r>
      <w:r>
        <w:t>Ω from the rotation, the shearing rate in Eq. (3) becomes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E</m:t>
            </m:r>
          </m:sub>
        </m:sSub>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dia</m:t>
            </m:r>
          </m:sub>
        </m:sSub>
        <m:r>
          <m:rPr>
            <m:nor/>
          </m:rPr>
          <w:rPr>
            <w:rFonts w:ascii="Cambria Math" w:hAnsi="Cambria Math"/>
            <w:i w:val="0"/>
          </w:rPr>
          <m:t xml:space="preserve"> + </m:t>
        </m:r>
        <m:r>
          <m:rPr>
            <m:sty m:val="i"/>
          </m:rPr>
          <w:rPr>
            <w:rFonts w:ascii="Cambria Math" w:hAnsi="Cambria Math"/>
            <w:i/>
          </w:rPr>
          <m:t xml:space="preserve">σ</m:t>
        </m:r>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rot</m:t>
            </m:r>
          </m:sub>
        </m:sSub>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σ</m:t>
        </m:r>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m:t>
        </m:r>
      </m:oMath>
      <w:r>
        <w:tab/>
        <w:t xml:space="preserve">(7)</w:t>
      </w:r>
    </w:p>
    <w:p>
      <w:pPr>
        <w:keepNext w:val="0"/>
        <w:jc w:val="both"/>
      </w:pPr>
      <w:r>
        <w:t>with σ = +1 when the two shears add and σ = −1 when they oppose; the sign depends on the direction of the torque relative to the diamagnetic flow and both are reported. The coupling is one-way: the temperature sets γ</w:t>
      </w:r>
      <w:r>
        <w:rPr>
          <w:vertAlign w:val="subscript"/>
        </w:rPr>
        <w:t>0</w:t>
      </w:r>
      <w:r>
        <w:t xml:space="preserve"> for the rotation equation, the rotation adds to the shear in the heat closure, and the two problems are iterated to a fixed point. For s</w:t>
      </w:r>
      <w:r>
        <w:rPr>
          <w:vertAlign w:val="subscript"/>
        </w:rPr>
        <w:t>c</w:t>
      </w:r>
      <w:r>
        <w:t xml:space="preserve"> → ∞ the heat transport, and therefore Q, does not depend on the torque.</w:t>
      </w:r>
    </w:p>
    <w:p>
      <w:pPr>
        <w:keepNext/>
        <w:spacing w:line="276" w:lineRule="auto" w:after="200"/>
      </w:pPr>
      <w:r>
        <w:rPr>
          <w:b/>
          <w:sz w:val="19"/>
        </w:rPr>
        <w:t>Table 1.</w:t>
      </w:r>
      <w:r>
        <w:rPr>
          <w:sz w:val="19"/>
        </w:rPr>
        <w:t xml:space="preserve"> Parameters held identical for the baseline and the closure runs.</w:t>
      </w:r>
    </w:p>
    <w:tbl>
      <w:tblPr>
        <w:tblStyle w:val="TableGrid"/>
        <w:tblW w:type="auto" w:w="0"/>
        <w:jc w:val="center"/>
        <w:tblLayout w:type="fixed"/>
        <w:tblLook w:firstColumn="1" w:firstRow="1" w:lastColumn="0" w:lastRow="0" w:noHBand="0" w:noVBand="1" w:val="04A0"/>
      </w:tblPr>
      <w:tblGrid>
        <w:gridCol w:w="3168"/>
        <w:gridCol w:w="6192"/>
      </w:tblGrid>
      <w:tr>
        <w:trPr>
          <w:tblHeader w:val="true"/>
        </w:trPr>
        <w:tc>
          <w:tcPr>
            <w:tcW w:type="dxa" w:w="3168"/>
            <w:shd w:val="clear" w:color="auto" w:fill="E7ECF1"/>
          </w:tcPr>
          <w:p>
            <w:pPr>
              <w:spacing w:line="240" w:lineRule="auto" w:after="20"/>
            </w:pPr>
            <w:r/>
            <w:r>
              <w:rPr>
                <w:b/>
                <w:sz w:val="17"/>
              </w:rPr>
              <w:t>Quantity</w:t>
            </w:r>
          </w:p>
        </w:tc>
        <w:tc>
          <w:tcPr>
            <w:tcW w:type="dxa" w:w="6192"/>
            <w:shd w:val="clear" w:color="auto" w:fill="E7ECF1"/>
          </w:tcPr>
          <w:p>
            <w:pPr>
              <w:spacing w:line="240" w:lineRule="auto" w:after="20"/>
            </w:pPr>
            <w:r/>
            <w:r>
              <w:rPr>
                <w:b/>
                <w:sz w:val="17"/>
              </w:rPr>
              <w:t>Value</w:t>
            </w:r>
          </w:p>
        </w:tc>
      </w:tr>
      <w:tr>
        <w:tc>
          <w:tcPr>
            <w:tcW w:type="dxa" w:w="3168"/>
          </w:tcPr>
          <w:p>
            <w:pPr>
              <w:spacing w:line="240" w:lineRule="auto" w:after="20"/>
            </w:pPr>
            <w:r/>
            <w:r>
              <w:rPr>
                <w:sz w:val="17"/>
              </w:rPr>
              <w:t>Major radius R</w:t>
            </w:r>
            <w:r>
              <w:rPr>
                <w:sz w:val="17"/>
                <w:vertAlign w:val="subscript"/>
              </w:rPr>
              <w:t>0</w:t>
            </w:r>
            <w:r>
              <w:rPr>
                <w:sz w:val="17"/>
              </w:rPr>
              <w:t>, minor radius a</w:t>
            </w:r>
          </w:p>
        </w:tc>
        <w:tc>
          <w:tcPr>
            <w:tcW w:type="dxa" w:w="6192"/>
          </w:tcPr>
          <w:p>
            <w:pPr>
              <w:spacing w:line="240" w:lineRule="auto" w:after="20"/>
            </w:pPr>
            <w:r/>
            <w:r>
              <w:rPr>
                <w:sz w:val="17"/>
              </w:rPr>
              <w:t>6.2 m, 2.0 m</w:t>
            </w:r>
          </w:p>
        </w:tc>
      </w:tr>
      <w:tr>
        <w:tc>
          <w:tcPr>
            <w:tcW w:type="dxa" w:w="3168"/>
          </w:tcPr>
          <w:p>
            <w:pPr>
              <w:spacing w:line="240" w:lineRule="auto" w:after="20"/>
            </w:pPr>
            <w:r/>
            <w:r>
              <w:rPr>
                <w:sz w:val="17"/>
              </w:rPr>
              <w:t>Toroidal field B</w:t>
            </w:r>
          </w:p>
        </w:tc>
        <w:tc>
          <w:tcPr>
            <w:tcW w:type="dxa" w:w="6192"/>
          </w:tcPr>
          <w:p>
            <w:pPr>
              <w:spacing w:line="240" w:lineRule="auto" w:after="20"/>
            </w:pPr>
            <w:r/>
            <w:r>
              <w:rPr>
                <w:sz w:val="17"/>
              </w:rPr>
              <w:t>5.3 T</w:t>
            </w:r>
          </w:p>
        </w:tc>
      </w:tr>
      <w:tr>
        <w:tc>
          <w:tcPr>
            <w:tcW w:type="dxa" w:w="3168"/>
          </w:tcPr>
          <w:p>
            <w:pPr>
              <w:spacing w:line="240" w:lineRule="auto" w:after="20"/>
            </w:pPr>
            <w:r/>
            <w:r>
              <w:rPr>
                <w:sz w:val="17"/>
              </w:rPr>
              <w:t>Density n(r)</w:t>
            </w:r>
          </w:p>
        </w:tc>
        <w:tc>
          <w:tcPr>
            <w:tcW w:type="dxa" w:w="6192"/>
          </w:tcPr>
          <w:p>
            <w:pPr>
              <w:spacing w:line="240" w:lineRule="auto" w:after="20"/>
            </w:pPr>
            <w:r/>
            <w:r>
              <w:rPr>
                <w:sz w:val="17"/>
              </w:rPr>
              <w:t>10</w:t>
            </w:r>
            <w:r>
              <w:rPr>
                <w:sz w:val="17"/>
                <w:vertAlign w:val="superscript"/>
              </w:rPr>
              <w:t>20</w:t>
            </w:r>
            <w:r>
              <w:rPr>
                <w:sz w:val="17"/>
              </w:rPr>
              <w:t>(1 − 0.75(r/a)²) m</w:t>
            </w:r>
            <w:r>
              <w:rPr>
                <w:sz w:val="17"/>
                <w:vertAlign w:val="superscript"/>
              </w:rPr>
              <w:t>−3</w:t>
            </w:r>
            <w:r>
              <w:rPr>
                <w:sz w:val="17"/>
              </w:rPr>
              <w:t>, fixed (n</w:t>
            </w:r>
            <w:r>
              <w:rPr>
                <w:sz w:val="17"/>
                <w:vertAlign w:val="subscript"/>
              </w:rPr>
              <w:t>e</w:t>
            </w:r>
            <w:r>
              <w:rPr>
                <w:sz w:val="17"/>
              </w:rPr>
              <w:t xml:space="preserve"> = n</w:t>
            </w:r>
            <w:r>
              <w:rPr>
                <w:sz w:val="17"/>
                <w:vertAlign w:val="subscript"/>
              </w:rPr>
              <w:t>i</w:t>
            </w:r>
            <w:r>
              <w:rPr>
                <w:sz w:val="17"/>
              </w:rPr>
              <w:t>, 50:50 D:T)</w:t>
            </w:r>
          </w:p>
        </w:tc>
      </w:tr>
      <w:tr>
        <w:tc>
          <w:tcPr>
            <w:tcW w:type="dxa" w:w="3168"/>
          </w:tcPr>
          <w:p>
            <w:pPr>
              <w:spacing w:line="240" w:lineRule="auto" w:after="20"/>
            </w:pPr>
            <w:r/>
            <w:r>
              <w:rPr>
                <w:sz w:val="17"/>
              </w:rPr>
              <w:t>Safety factor q(r)</w:t>
            </w:r>
          </w:p>
        </w:tc>
        <w:tc>
          <w:tcPr>
            <w:tcW w:type="dxa" w:w="6192"/>
          </w:tcPr>
          <w:p>
            <w:pPr>
              <w:spacing w:line="240" w:lineRule="auto" w:after="20"/>
            </w:pPr>
            <w:r/>
            <w:r>
              <w:rPr>
                <w:sz w:val="17"/>
              </w:rPr>
              <w:t>1 + 2(r/a)²</w:t>
            </w:r>
          </w:p>
        </w:tc>
      </w:tr>
      <w:tr>
        <w:tc>
          <w:tcPr>
            <w:tcW w:type="dxa" w:w="3168"/>
          </w:tcPr>
          <w:p>
            <w:pPr>
              <w:spacing w:line="240" w:lineRule="auto" w:after="20"/>
            </w:pPr>
            <w:r/>
            <w:r>
              <w:rPr>
                <w:sz w:val="17"/>
              </w:rPr>
              <w:t>Edge temperature T(a)</w:t>
            </w:r>
          </w:p>
        </w:tc>
        <w:tc>
          <w:tcPr>
            <w:tcW w:type="dxa" w:w="6192"/>
          </w:tcPr>
          <w:p>
            <w:pPr>
              <w:spacing w:line="240" w:lineRule="auto" w:after="20"/>
            </w:pPr>
            <w:r/>
            <w:r>
              <w:rPr>
                <w:sz w:val="17"/>
              </w:rPr>
              <w:t>4 keV (fixed)</w:t>
            </w:r>
          </w:p>
        </w:tc>
      </w:tr>
      <w:tr>
        <w:tc>
          <w:tcPr>
            <w:tcW w:type="dxa" w:w="3168"/>
          </w:tcPr>
          <w:p>
            <w:pPr>
              <w:spacing w:line="240" w:lineRule="auto" w:after="20"/>
            </w:pPr>
            <w:r/>
            <w:r>
              <w:rPr>
                <w:sz w:val="17"/>
              </w:rPr>
              <w:t>Auxiliary heating</w:t>
            </w:r>
          </w:p>
        </w:tc>
        <w:tc>
          <w:tcPr>
            <w:tcW w:type="dxa" w:w="6192"/>
          </w:tcPr>
          <w:p>
            <w:pPr>
              <w:spacing w:line="240" w:lineRule="auto" w:after="20"/>
            </w:pPr>
            <w:r/>
            <w:r>
              <w:rPr>
                <w:sz w:val="17"/>
              </w:rPr>
              <w:t>Gaussian of width 0.4a centred on the axis, 40 MW (scanned 10–80 MW)</w:t>
            </w:r>
          </w:p>
        </w:tc>
      </w:tr>
      <w:tr>
        <w:tc>
          <w:tcPr>
            <w:tcW w:type="dxa" w:w="3168"/>
          </w:tcPr>
          <w:p>
            <w:pPr>
              <w:spacing w:line="240" w:lineRule="auto" w:after="20"/>
            </w:pPr>
            <w:r/>
            <w:r>
              <w:rPr>
                <w:sz w:val="17"/>
              </w:rPr>
              <w:t>Baseline χ</w:t>
            </w:r>
          </w:p>
        </w:tc>
        <w:tc>
          <w:tcPr>
            <w:tcW w:type="dxa" w:w="6192"/>
          </w:tcPr>
          <w:p>
            <w:pPr>
              <w:spacing w:line="240" w:lineRule="auto" w:after="20"/>
            </w:pPr>
            <w:r/>
            <w:r>
              <w:rPr>
                <w:sz w:val="17"/>
              </w:rPr>
              <w:t>χ</w:t>
            </w:r>
            <w:r>
              <w:rPr>
                <w:sz w:val="17"/>
                <w:vertAlign w:val="subscript"/>
              </w:rPr>
              <w:t>n</w:t>
            </w:r>
            <w:r>
              <w:rPr>
                <w:sz w:val="17"/>
              </w:rPr>
              <w:t xml:space="preserve"> = 0.3, χ</w:t>
            </w:r>
            <w:r>
              <w:rPr>
                <w:sz w:val="17"/>
                <w:vertAlign w:val="subscript"/>
              </w:rPr>
              <w:t>s</w:t>
            </w:r>
            <w:r>
              <w:rPr>
                <w:sz w:val="17"/>
              </w:rPr>
              <w:t xml:space="preserve"> = 1.0 m² s</w:t>
            </w:r>
            <w:r>
              <w:rPr>
                <w:sz w:val="17"/>
                <w:vertAlign w:val="superscript"/>
              </w:rPr>
              <w:t>−1</w:t>
            </w:r>
            <w:r>
              <w:rPr>
                <w:sz w:val="17"/>
              </w:rPr>
              <w:t>, κ</w:t>
            </w:r>
            <w:r>
              <w:rPr>
                <w:sz w:val="17"/>
                <w:vertAlign w:val="subscript"/>
              </w:rPr>
              <w:t>c</w:t>
            </w:r>
            <w:r>
              <w:rPr>
                <w:sz w:val="17"/>
              </w:rPr>
              <w:t xml:space="preserve"> = 4, w = 0.5</w:t>
            </w:r>
          </w:p>
        </w:tc>
      </w:tr>
      <w:tr>
        <w:tc>
          <w:tcPr>
            <w:tcW w:type="dxa" w:w="3168"/>
          </w:tcPr>
          <w:p>
            <w:pPr>
              <w:spacing w:line="240" w:lineRule="auto" w:after="20"/>
            </w:pPr>
            <w:r/>
            <w:r>
              <w:rPr>
                <w:sz w:val="17"/>
              </w:rPr>
              <w:t>Ion mass m</w:t>
            </w:r>
            <w:r>
              <w:rPr>
                <w:sz w:val="17"/>
                <w:vertAlign w:val="subscript"/>
              </w:rPr>
              <w:t>i</w:t>
            </w:r>
          </w:p>
        </w:tc>
        <w:tc>
          <w:tcPr>
            <w:tcW w:type="dxa" w:w="6192"/>
          </w:tcPr>
          <w:p>
            <w:pPr>
              <w:spacing w:line="240" w:lineRule="auto" w:after="20"/>
            </w:pPr>
            <w:r/>
            <w:r>
              <w:rPr>
                <w:sz w:val="17"/>
              </w:rPr>
              <w:t>2.5 amu</w:t>
            </w:r>
          </w:p>
        </w:tc>
      </w:tr>
      <w:tr>
        <w:tc>
          <w:tcPr>
            <w:tcW w:type="dxa" w:w="3168"/>
          </w:tcPr>
          <w:p>
            <w:pPr>
              <w:spacing w:line="240" w:lineRule="auto" w:after="20"/>
            </w:pPr>
            <w:r/>
            <w:r>
              <w:rPr>
                <w:sz w:val="17"/>
              </w:rPr>
              <w:t>Fusion reactivity</w:t>
            </w:r>
          </w:p>
        </w:tc>
        <w:tc>
          <w:tcPr>
            <w:tcW w:type="dxa" w:w="6192"/>
          </w:tcPr>
          <w:p>
            <w:pPr>
              <w:spacing w:line="240" w:lineRule="auto" w:after="20"/>
            </w:pPr>
            <w:r/>
            <w:r>
              <w:rPr>
                <w:sz w:val="17"/>
              </w:rPr>
              <w:t>Bosch–Hale D–T; checked: 1.136×10</w:t>
            </w:r>
            <w:r>
              <w:rPr>
                <w:sz w:val="17"/>
                <w:vertAlign w:val="superscript"/>
              </w:rPr>
              <w:t>−22</w:t>
            </w:r>
            <w:r>
              <w:rPr>
                <w:sz w:val="17"/>
              </w:rPr>
              <w:t xml:space="preserve"> and 4.33×10</w:t>
            </w:r>
            <w:r>
              <w:rPr>
                <w:sz w:val="17"/>
                <w:vertAlign w:val="superscript"/>
              </w:rPr>
              <w:t>−22</w:t>
            </w:r>
            <w:r>
              <w:rPr>
                <w:sz w:val="17"/>
              </w:rPr>
              <w:t xml:space="preserve"> m³ s</w:t>
            </w:r>
            <w:r>
              <w:rPr>
                <w:sz w:val="17"/>
                <w:vertAlign w:val="superscript"/>
              </w:rPr>
              <w:t>−1</w:t>
            </w:r>
            <w:r>
              <w:rPr>
                <w:sz w:val="17"/>
              </w:rPr>
              <w:t xml:space="preserve"> at 10 and 20 keV</w:t>
            </w:r>
          </w:p>
        </w:tc>
      </w:tr>
      <w:tr>
        <w:tc>
          <w:tcPr>
            <w:tcW w:type="dxa" w:w="3168"/>
          </w:tcPr>
          <w:p>
            <w:pPr>
              <w:spacing w:line="240" w:lineRule="auto" w:after="20"/>
            </w:pPr>
            <w:r/>
            <w:r>
              <w:rPr>
                <w:sz w:val="17"/>
              </w:rPr>
              <w:t>Radiation</w:t>
            </w:r>
          </w:p>
        </w:tc>
        <w:tc>
          <w:tcPr>
            <w:tcW w:type="dxa" w:w="6192"/>
          </w:tcPr>
          <w:p>
            <w:pPr>
              <w:spacing w:line="240" w:lineRule="auto" w:after="20"/>
            </w:pPr>
            <w:r/>
            <w:r>
              <w:rPr>
                <w:sz w:val="17"/>
              </w:rPr>
              <w:t>Bremsstrahlung 5.35×10</w:t>
            </w:r>
            <w:r>
              <w:rPr>
                <w:sz w:val="17"/>
                <w:vertAlign w:val="superscript"/>
              </w:rPr>
              <w:t>−37</w:t>
            </w:r>
            <w:r>
              <w:rPr>
                <w:sz w:val="17"/>
              </w:rPr>
              <w:t xml:space="preserve"> n² T</w:t>
            </w:r>
            <w:r>
              <w:rPr>
                <w:sz w:val="17"/>
                <w:vertAlign w:val="superscript"/>
              </w:rPr>
              <w:t>1/2</w:t>
            </w:r>
            <w:r>
              <w:rPr>
                <w:sz w:val="17"/>
              </w:rPr>
              <w:t xml:space="preserve"> W m</w:t>
            </w:r>
            <w:r>
              <w:rPr>
                <w:sz w:val="17"/>
                <w:vertAlign w:val="superscript"/>
              </w:rPr>
              <w:t>−3</w:t>
            </w:r>
            <w:r>
              <w:rPr>
                <w:sz w:val="17"/>
              </w:rPr>
              <w:t>, Z</w:t>
            </w:r>
            <w:r>
              <w:rPr>
                <w:sz w:val="17"/>
                <w:vertAlign w:val="subscript"/>
              </w:rPr>
              <w:t>eff</w:t>
            </w:r>
            <w:r>
              <w:rPr>
                <w:sz w:val="17"/>
              </w:rPr>
              <w:t xml:space="preserve"> = 1</w:t>
            </w:r>
          </w:p>
        </w:tc>
      </w:tr>
      <w:tr>
        <w:tc>
          <w:tcPr>
            <w:tcW w:type="dxa" w:w="3168"/>
          </w:tcPr>
          <w:p>
            <w:pPr>
              <w:spacing w:line="240" w:lineRule="auto" w:after="20"/>
            </w:pPr>
            <w:r/>
            <w:r>
              <w:rPr>
                <w:sz w:val="17"/>
              </w:rPr>
              <w:t>Viscosity μ</w:t>
            </w:r>
            <w:r>
              <w:rPr>
                <w:sz w:val="17"/>
                <w:vertAlign w:val="subscript"/>
              </w:rPr>
              <w:t>0</w:t>
            </w:r>
          </w:p>
        </w:tc>
        <w:tc>
          <w:tcPr>
            <w:tcW w:type="dxa" w:w="6192"/>
          </w:tcPr>
          <w:p>
            <w:pPr>
              <w:spacing w:line="240" w:lineRule="auto" w:after="20"/>
            </w:pPr>
            <w:r/>
            <w:r>
              <w:rPr>
                <w:sz w:val="17"/>
              </w:rPr>
              <w:t>Pr ρ̄ χ</w:t>
            </w:r>
            <w:r>
              <w:rPr>
                <w:sz w:val="17"/>
                <w:vertAlign w:val="subscript"/>
              </w:rPr>
              <w:t>s</w:t>
            </w:r>
            <w:r>
              <w:rPr>
                <w:sz w:val="17"/>
              </w:rPr>
              <w:t>, Pr = 1: 3.11×10</w:t>
            </w:r>
            <w:r>
              <w:rPr>
                <w:sz w:val="17"/>
                <w:vertAlign w:val="superscript"/>
              </w:rPr>
              <w:t>−7</w:t>
            </w:r>
            <w:r>
              <w:rPr>
                <w:sz w:val="17"/>
              </w:rPr>
              <w:t xml:space="preserve"> kg m</w:t>
            </w:r>
            <w:r>
              <w:rPr>
                <w:sz w:val="17"/>
                <w:vertAlign w:val="superscript"/>
              </w:rPr>
              <w:t>−1</w:t>
            </w:r>
            <w:r>
              <w:rPr>
                <w:sz w:val="17"/>
              </w:rPr>
              <w:t xml:space="preserve"> s</w:t>
            </w:r>
            <w:r>
              <w:rPr>
                <w:sz w:val="17"/>
                <w:vertAlign w:val="superscript"/>
              </w:rPr>
              <w:t>−1</w:t>
            </w:r>
          </w:p>
        </w:tc>
      </w:tr>
      <w:tr>
        <w:tc>
          <w:tcPr>
            <w:tcW w:type="dxa" w:w="3168"/>
          </w:tcPr>
          <w:p>
            <w:pPr>
              <w:spacing w:line="240" w:lineRule="auto" w:after="20"/>
            </w:pPr>
            <w:r/>
            <w:r>
              <w:rPr>
                <w:sz w:val="17"/>
              </w:rPr>
              <w:t>Torque</w:t>
            </w:r>
          </w:p>
        </w:tc>
        <w:tc>
          <w:tcPr>
            <w:tcW w:type="dxa" w:w="6192"/>
          </w:tcPr>
          <w:p>
            <w:pPr>
              <w:spacing w:line="240" w:lineRule="auto" w:after="20"/>
            </w:pPr>
            <w:r/>
            <w:r>
              <w:rPr>
                <w:sz w:val="17"/>
              </w:rPr>
              <w:t>Gaussian of width 0.4a, total 0–250 N m</w:t>
            </w:r>
          </w:p>
        </w:tc>
      </w:tr>
    </w:tbl>
    <w:p>
      <w:pPr>
        <w:spacing w:after="40"/>
      </w:pPr>
    </w:p>
    <w:p>
      <w:pPr>
        <w:pStyle w:val="Heading1"/>
      </w:pPr>
      <w:r>
        <w:rPr>
          <w:rFonts w:ascii="Times New Roman" w:hAnsi="Times New Roman"/>
        </w:rPr>
        <w:t>3. Admissibility of shear-dependent flux closures</w:t>
      </w:r>
    </w:p>
    <w:p>
      <w:pPr>
        <w:keepNext w:val="0"/>
        <w:jc w:val="both"/>
      </w:pPr>
      <w:r>
        <w:t>This section collects the exact statements used in Section 5. They concern the rotation equation, whose steady state is algebraic in the shearing rate, and they identify when a shear-dependent closure can be used at all: the steady balance must have a solution for every drive. Proofs are in Appendix B.</w:t>
      </w:r>
    </w:p>
    <w:p>
      <w:pPr>
        <w:pStyle w:val="Heading2"/>
      </w:pPr>
      <w:r>
        <w:rPr>
          <w:rFonts w:ascii="Times New Roman" w:hAnsi="Times New Roman"/>
        </w:rPr>
        <w:t>3.1 Steady flux relation</w:t>
      </w:r>
    </w:p>
    <w:p>
      <w:pPr>
        <w:keepNext w:val="0"/>
        <w:jc w:val="both"/>
      </w:pPr>
      <w:r>
        <w:rPr>
          <w:b/>
        </w:rPr>
        <w:t>Proposition 1 (steady flux relation).</w:t>
      </w:r>
      <w:r>
        <w:t xml:space="preserve"> In steady state, with regularity at the axis, the shearing rate Λ(r) of Eq. (6) satisfies at each radius</w:t>
      </w:r>
    </w:p>
    <w:p>
      <w:pPr>
        <w:keepLines/>
        <w:tabs>
          <w:tab w:pos="4680" w:val="center"/>
          <w:tab w:pos="9360" w:val="right"/>
        </w:tabs>
        <w:spacing w:before="120" w:after="120"/>
      </w:pPr>
      <w:r>
        <w:tab/>
      </w:r>
      <m:oMath>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Λ</m:t>
            </m:r>
          </m:e>
        </m:d>
        <m:r>
          <m:rPr>
            <m:sty m:val="i"/>
          </m:rPr>
          <w:rPr>
            <w:rFonts w:ascii="Cambria Math" w:hAnsi="Cambria Math"/>
            <w:i/>
          </w:rPr>
          <m:t xml:space="preserve">Λ</m:t>
        </m:r>
        <m:r>
          <m:rPr>
            <m:nor/>
          </m:rPr>
          <w:rPr>
            <w:rFonts w:ascii="Cambria Math" w:hAnsi="Cambria Math"/>
            <w:i w:val="0"/>
          </w:rPr>
          <m:t xml:space="preserve"> = </m:t>
        </m:r>
        <m:r>
          <m:rPr>
            <m:sty m:val="i"/>
          </m:rPr>
          <w:rPr>
            <w:rFonts w:ascii="Cambria Math" w:hAnsi="Cambria Math"/>
            <w:i/>
          </w:rPr>
          <m:t xml:space="preserve">Θ</m:t>
        </m:r>
        <m:d>
          <m:dPr>
            <m:begChr m:val="("/>
            <m:endChr m:val=")"/>
            <m:ctrlPr>
              <w:rPr>
                <w:rFonts w:ascii="Cambria Math" w:hAnsi="Cambria Math"/>
                <w:i/>
              </w:rPr>
            </m:ctrlPr>
          </m:dPr>
          <m:e>
            <m:r>
              <m:rPr>
                <m:sty m:val="i"/>
              </m:rPr>
              <w:rPr>
                <w:rFonts w:ascii="Cambria Math" w:hAnsi="Cambria Math"/>
                <w:i/>
              </w:rPr>
              <m:t xml:space="preserve">r</m:t>
            </m:r>
          </m:e>
        </m:d>
        <m:r>
          <m:rPr>
            <m:nor/>
          </m:rPr>
          <w:rPr>
            <w:rFonts w:ascii="Cambria Math" w:hAnsi="Cambria Math"/>
            <w:i w:val="0"/>
          </w:rPr>
          <m:t xml:space="preserve">,   </m:t>
        </m:r>
        <m:r>
          <m:rPr>
            <m:sty m:val="i"/>
          </m:rPr>
          <w:rPr>
            <w:rFonts w:ascii="Cambria Math" w:hAnsi="Cambria Math"/>
            <w:i/>
          </w:rPr>
          <m:t xml:space="preserve">Θ</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I</m:t>
            </m:r>
            <m:d>
              <m:dPr>
                <m:begChr m:val="("/>
                <m:endChr m:val=")"/>
                <m:ctrlPr>
                  <w:rPr>
                    <w:rFonts w:ascii="Cambria Math" w:hAnsi="Cambria Math"/>
                    <w:i/>
                  </w:rPr>
                </m:ctrlPr>
              </m:dPr>
              <m:e>
                <m:r>
                  <m:rPr>
                    <m:sty m:val="i"/>
                  </m:rPr>
                  <w:rPr>
                    <w:rFonts w:ascii="Cambria Math" w:hAnsi="Cambria Math"/>
                    <w:i/>
                  </w:rPr>
                  <m:t xml:space="preserve">r</m:t>
                </m:r>
              </m:e>
            </m:d>
          </m:num>
          <m:den>
            <m:r>
              <m:rPr>
                <m:sty m:val="i"/>
              </m:rPr>
              <w:rPr>
                <w:rFonts w:ascii="Cambria Math" w:hAnsi="Cambria Math"/>
                <w:i/>
              </w:rPr>
              <m:t xml:space="preserve">q</m:t>
            </m:r>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sSub>
              <m:sSubPr>
                <m:ctrlPr>
                  <w:rPr>
                    <w:rFonts w:ascii="Cambria Math" w:hAnsi="Cambria Math"/>
                    <w:i/>
                  </w:rPr>
                </m:ctrlPr>
              </m:sSubPr>
              <m:e>
                <m:r>
                  <m:rPr>
                    <m:sty m:val="i"/>
                  </m:rPr>
                  <w:rPr>
                    <w:rFonts w:ascii="Cambria Math" w:hAnsi="Cambria Math"/>
                    <w:i/>
                  </w:rPr>
                  <m:t xml:space="preserve">μ</m:t>
                </m:r>
              </m:e>
              <m:sub>
                <m:r>
                  <m:rPr>
                    <m:nor/>
                  </m:rPr>
                  <w:rPr>
                    <w:rFonts w:ascii="Cambria Math" w:hAnsi="Cambria Math"/>
                    <w:i w:val="0"/>
                  </w:rPr>
                  <m:t xml:space="preserve">0</m:t>
                </m:r>
              </m:sub>
            </m:sSub>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e>
              <m:sup>
                <m:r>
                  <m:rPr>
                    <m:nor/>
                  </m:rPr>
                  <w:rPr>
                    <w:rFonts w:ascii="Cambria Math" w:hAnsi="Cambria Math"/>
                    <w:i w:val="0"/>
                  </w:rPr>
                  <m:t xml:space="preserve">2</m:t>
                </m:r>
              </m:sup>
            </m:sSup>
          </m:den>
        </m:f>
        <m:r>
          <m:rPr>
            <m:nor/>
          </m:rPr>
          <w:rPr>
            <w:rFonts w:ascii="Cambria Math" w:hAnsi="Cambria Math"/>
            <w:i w:val="0"/>
          </w:rPr>
          <m:t xml:space="preserve">,   </m:t>
        </m:r>
        <m:r>
          <m:rPr>
            <m:sty m:val="i"/>
          </m:rPr>
          <w:rPr>
            <w:rFonts w:ascii="Cambria Math" w:hAnsi="Cambria Math"/>
            <w:i/>
          </w:rPr>
          <m:t xml:space="preserve">I</m:t>
        </m:r>
        <m:d>
          <m:dPr>
            <m:begChr m:val="("/>
            <m:endChr m:val=")"/>
            <m:ctrlPr>
              <w:rPr>
                <w:rFonts w:ascii="Cambria Math" w:hAnsi="Cambria Math"/>
                <w:i/>
              </w:rPr>
            </m:ctrlPr>
          </m:dPr>
          <m:e>
            <m:r>
              <m:rPr>
                <m:sty m:val="i"/>
              </m:rPr>
              <w:rPr>
                <w:rFonts w:ascii="Cambria Math" w:hAnsi="Cambria Math"/>
                <w:i/>
              </w:rPr>
              <m:t xml:space="preserve">r</m:t>
            </m:r>
          </m:e>
        </m:d>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m:t>
            </m:r>
          </m:e>
          <m:sub>
            <m:r>
              <m:rPr>
                <m:nor/>
              </m:rPr>
              <w:rPr>
                <w:rFonts w:ascii="Cambria Math" w:hAnsi="Cambria Math"/>
                <w:i w:val="0"/>
              </w:rPr>
              <m:t xml:space="preserve">0</m:t>
            </m:r>
          </m:sub>
        </m:sSub>
        <m:r>
          <m:rPr>
            <m:nor/>
          </m:rPr>
          <w:rPr>
            <w:rFonts w:ascii="Cambria Math" w:hAnsi="Cambria Math"/>
            <w:i w:val="0"/>
          </w:rPr>
          <m:t xml:space="preserve"/>
        </m:r>
        <m:r>
          <m:rPr>
            <m:sty m:val="i"/>
          </m:rPr>
          <w:rPr>
            <w:rFonts w:ascii="Cambria Math" w:hAnsi="Cambria Math"/>
            <w:i/>
          </w:rPr>
          <m:t xml:space="preserve">τ</m:t>
        </m:r>
        <m:r>
          <m:rPr>
            <m:nor/>
          </m:rPr>
          <w:rPr>
            <w:rFonts w:ascii="Cambria Math" w:hAnsi="Cambria Math"/>
            <w:i w:val="0"/>
          </w:rPr>
          <m:t xml:space="preserve">(r′) r′ dr′</m:t>
        </m:r>
        <m:r>
          <m:rPr>
            <m:nor/>
          </m:rPr>
          <w:rPr>
            <w:rFonts w:ascii="Cambria Math" w:hAnsi="Cambria Math"/>
            <w:i w:val="0"/>
          </w:rPr>
          <m:t xml:space="preserve">.</m:t>
        </m:r>
      </m:oMath>
      <w:r>
        <w:tab/>
        <w:t xml:space="preserve">(8)</w:t>
      </w:r>
    </w:p>
    <w:p>
      <w:pPr>
        <w:keepNext w:val="0"/>
        <w:jc w:val="both"/>
      </w:pPr>
      <w:r>
        <w:t>Here I(r) is the torque per unit 4π²R</w:t>
      </w:r>
      <w:r>
        <w:rPr>
          <w:vertAlign w:val="subscript"/>
        </w:rPr>
        <w:t>0</w:t>
      </w:r>
      <w:r>
        <w:t xml:space="preserve"> inside radius r, so that T</w:t>
      </w:r>
      <w:r>
        <w:rPr>
          <w:vertAlign w:val="subscript"/>
        </w:rPr>
        <w:t>tot</w:t>
      </w:r>
      <w:r>
        <w:t xml:space="preserve"> = 4π²R</w:t>
      </w:r>
      <w:r>
        <w:rPr>
          <w:vertAlign w:val="subscript"/>
        </w:rPr>
        <w:t>0</w:t>
      </w:r>
      <w:r>
        <w:t>I(a), and Θ is the torque number. The rotation profile follows by integrating ∂</w:t>
      </w:r>
      <w:r>
        <w:rPr>
          <w:vertAlign w:val="subscript"/>
        </w:rPr>
        <w:t>r</w:t>
      </w:r>
      <w:r>
        <w:t>Ω = −Λ/κ from the edge. The relation does not involve the form of F except through the function Ψ(Λ) = ΛF(Λ), the normalised momentum flux: the closure sets how the flux depends on the shear, and the drive Θ sets the flux.</w:t>
      </w:r>
    </w:p>
    <w:p>
      <w:pPr>
        <w:pStyle w:val="Heading2"/>
      </w:pPr>
      <w:r>
        <w:rPr>
          <w:rFonts w:ascii="Times New Roman" w:hAnsi="Times New Roman"/>
        </w:rPr>
        <w:t>3.2 Existence, saturation, fold and hysteresis</w:t>
      </w:r>
    </w:p>
    <w:p>
      <w:pPr>
        <w:keepNext w:val="0"/>
        <w:jc w:val="both"/>
      </w:pPr>
      <w:r>
        <w:rPr>
          <w:b/>
        </w:rPr>
        <w:t>Proposition 2 (admissibility).</w:t>
      </w:r>
      <w:r>
        <w:t xml:space="preserve"> (a) Ψ′(Λ) = F(1 + d ln F/d ln Λ), so Ψ is increasing if and only if d ln F/d ln Λ &gt; −1. (b) If Ψ is strictly increasing with supremum Ψ</w:t>
      </w:r>
      <w:r>
        <w:rPr>
          <w:vertAlign w:val="subscript"/>
        </w:rPr>
        <w:t>∞</w:t>
      </w:r>
      <w:r>
        <w:t>, the flux relation has exactly one solution at each radius if and only if Θ(r) &lt; Ψ</w:t>
      </w:r>
      <w:r>
        <w:rPr>
          <w:vertAlign w:val="subscript"/>
        </w:rPr>
        <w:t>∞</w:t>
      </w:r>
      <w:r>
        <w:t>; a steady state then exists for every torque when Ψ</w:t>
      </w:r>
      <w:r>
        <w:rPr>
          <w:vertAlign w:val="subscript"/>
        </w:rPr>
        <w:t>∞</w:t>
      </w:r>
      <w:r>
        <w:t xml:space="preserve"> = ∞, and only for Θ</w:t>
      </w:r>
      <w:r>
        <w:rPr>
          <w:vertAlign w:val="subscript"/>
        </w:rPr>
        <w:t>max</w:t>
      </w:r>
      <w:r>
        <w:t xml:space="preserve"> &lt; Ψ</w:t>
      </w:r>
      <w:r>
        <w:rPr>
          <w:vertAlign w:val="subscript"/>
        </w:rPr>
        <w:t>∞</w:t>
      </w:r>
      <w:r>
        <w:t xml:space="preserve"> when Ψ</w:t>
      </w:r>
      <w:r>
        <w:rPr>
          <w:vertAlign w:val="subscript"/>
        </w:rPr>
        <w:t>∞</w:t>
      </w:r>
      <w:r>
        <w:t xml:space="preserve"> is finite (flux saturation). (c) If Ψ has a local maximum Ψ</w:t>
      </w:r>
      <w:r>
        <w:rPr>
          <w:vertAlign w:val="subscript"/>
        </w:rPr>
        <w:t>M</w:t>
      </w:r>
      <w:r>
        <w:t xml:space="preserve"> followed by a local minimum Ψ</w:t>
      </w:r>
      <w:r>
        <w:rPr>
          <w:vertAlign w:val="subscript"/>
        </w:rPr>
        <w:t>m</w:t>
      </w:r>
      <w:r>
        <w:t xml:space="preserve"> &lt; Ψ</w:t>
      </w:r>
      <w:r>
        <w:rPr>
          <w:vertAlign w:val="subscript"/>
        </w:rPr>
        <w:t>M</w:t>
      </w:r>
      <w:r>
        <w:t>, there are three solutions for Ψ</w:t>
      </w:r>
      <w:r>
        <w:rPr>
          <w:vertAlign w:val="subscript"/>
        </w:rPr>
        <w:t>m</w:t>
      </w:r>
      <w:r>
        <w:t xml:space="preserve"> &lt; Θ &lt; Ψ</w:t>
      </w:r>
      <w:r>
        <w:rPr>
          <w:vertAlign w:val="subscript"/>
        </w:rPr>
        <w:t>M</w:t>
      </w:r>
      <w:r>
        <w:t>. On a slowly increasing torque the state that started at Λ = 0 ends in a fold at Θ = Ψ</w:t>
      </w:r>
      <w:r>
        <w:rPr>
          <w:vertAlign w:val="subscript"/>
        </w:rPr>
        <w:t>M</w:t>
      </w:r>
      <w:r>
        <w:t xml:space="preserve"> and jumps to the upper branch; on a decreasing torque the upper branch persists down to Θ = Ψ</w:t>
      </w:r>
      <w:r>
        <w:rPr>
          <w:vertAlign w:val="subscript"/>
        </w:rPr>
        <w:t>m</w:t>
      </w:r>
      <w:r>
        <w:t>. The hysteresis window in torque is [Ψ</w:t>
      </w:r>
      <w:r>
        <w:rPr>
          <w:vertAlign w:val="subscript"/>
        </w:rPr>
        <w:t>m</w:t>
      </w:r>
      <w:r>
        <w:t>, Ψ</w:t>
      </w:r>
      <w:r>
        <w:rPr>
          <w:vertAlign w:val="subscript"/>
        </w:rPr>
        <w:t>M</w:t>
      </w:r>
      <w:r>
        <w:t>]/θ′, where Θ</w:t>
      </w:r>
      <w:r>
        <w:rPr>
          <w:vertAlign w:val="subscript"/>
        </w:rPr>
        <w:t>max</w:t>
      </w:r>
      <w:r>
        <w:t xml:space="preserve"> = θ′T</w:t>
      </w:r>
      <w:r>
        <w:rPr>
          <w:vertAlign w:val="subscript"/>
        </w:rPr>
        <w:t>tot</w:t>
      </w:r>
      <w:r>
        <w:t>.</w:t>
      </w:r>
    </w:p>
    <w:p>
      <w:pPr>
        <w:keepNext w:val="0"/>
        <w:jc w:val="both"/>
      </w:pPr>
      <w:r>
        <w:t>The condition in (a) is the one that makes a nonlinear diffusion problem with flux −ΛF(Λ) well posed; a flux that decreases with the drive is the mechanism of the ill-posedness of forward–backward diffusion (Perona &amp; Malik 1990). Part (c) is the analogue, for the rotation equation, of the S-curve of the L–H transition models (Itoh &amp; Itoh 1988; Hinton 1991).</w:t>
      </w:r>
    </w:p>
    <w:p>
      <w:pPr>
        <w:keepNext w:val="0"/>
        <w:jc w:val="both"/>
      </w:pPr>
      <w:r>
        <w:rPr>
          <w:b/>
        </w:rPr>
        <w:t>Proposition 3 (closure families).</w:t>
      </w:r>
      <w:r>
        <w:t xml:space="preserve"> (i) For F = 1/(1 + Λ</w:t>
      </w:r>
      <w:r>
        <w:rPr>
          <w:vertAlign w:val="superscript"/>
        </w:rPr>
        <w:t>m</w:t>
      </w:r>
      <w:r>
        <w:t>), d ln F/d ln Λ = −mΛ</w:t>
      </w:r>
      <w:r>
        <w:rPr>
          <w:vertAlign w:val="superscript"/>
        </w:rPr>
        <w:t>m</w:t>
      </w:r>
      <w:r>
        <w:t>/(1 + Λ</w:t>
      </w:r>
      <w:r>
        <w:rPr>
          <w:vertAlign w:val="superscript"/>
        </w:rPr>
        <w:t>m</w:t>
      </w:r>
      <w:r>
        <w:t>) decreases from 0 to −m, so Ψ is increasing for all Λ if and only if m ≤ 1. For m = 1, Ψ = Λ/(1 + Λ) saturates at Ψ</w:t>
      </w:r>
      <w:r>
        <w:rPr>
          <w:vertAlign w:val="subscript"/>
        </w:rPr>
        <w:t>∞</w:t>
      </w:r>
      <w:r>
        <w:t xml:space="preserve"> = 1. For m &lt; 1, Ψ is unbounded. For m &gt; 1, Ψ′ vanishes at Λ</w:t>
      </w:r>
      <w:r>
        <w:rPr>
          <w:vertAlign w:val="superscript"/>
        </w:rPr>
        <w:t>*</w:t>
      </w:r>
      <w:r>
        <w:t xml:space="preserve"> = (m − 1)</w:t>
      </w:r>
      <w:r>
        <w:rPr>
          <w:vertAlign w:val="superscript"/>
        </w:rPr>
        <w:t>−1/m</w:t>
      </w:r>
      <w:r>
        <w:t>, where F = 1/m and Ψ(Λ</w:t>
      </w:r>
      <w:r>
        <w:rPr>
          <w:vertAlign w:val="superscript"/>
        </w:rPr>
        <w:t>*</w:t>
      </w:r>
      <w:r>
        <w:t>) = Λ</w:t>
      </w:r>
      <w:r>
        <w:rPr>
          <w:vertAlign w:val="superscript"/>
        </w:rPr>
        <w:t>*</w:t>
      </w:r>
      <w:r>
        <w:t>/m; for m = 2, Λ</w:t>
      </w:r>
      <w:r>
        <w:rPr>
          <w:vertAlign w:val="superscript"/>
        </w:rPr>
        <w:t>*</w:t>
      </w:r>
      <w:r>
        <w:t xml:space="preserve"> = 1 and the fold is at Θ = 1/2. (ii) For F = f + (1 − f)/(1 + Λ²), Ψ is increasing for all Λ if and only if f &gt; 1/9. (iii) For F = f + (1 − f)exp(−αΛ²), Ψ is increasing for all Λ if and only if f &gt; 2e</w:t>
      </w:r>
      <w:r>
        <w:rPr>
          <w:vertAlign w:val="superscript"/>
        </w:rPr>
        <w:t>−3/2</w:t>
      </w:r>
      <w:r>
        <w:t>/(1 + 2e</w:t>
      </w:r>
      <w:r>
        <w:rPr>
          <w:vertAlign w:val="superscript"/>
        </w:rPr>
        <w:t>−3/2</w:t>
      </w:r>
      <w:r>
        <w:t>) = 0.3086, independent of α. Without a floor (f = 0) Ψ has its maximum at Λ = (2α)</w:t>
      </w:r>
      <w:r>
        <w:rPr>
          <w:vertAlign w:val="superscript"/>
        </w:rPr>
        <w:t>−1/2</w:t>
      </w:r>
      <w:r>
        <w:t>, where Ψ = (2αe)</w:t>
      </w:r>
      <w:r>
        <w:rPr>
          <w:vertAlign w:val="superscript"/>
        </w:rPr>
        <w:t>−1/2</w:t>
      </w:r>
      <w:r>
        <w:t>.</w:t>
      </w:r>
    </w:p>
    <w:p>
      <w:pPr>
        <w:keepNext/>
        <w:spacing w:line="276" w:lineRule="auto" w:after="200"/>
      </w:pPr>
      <w:r>
        <w:rPr>
          <w:b/>
          <w:sz w:val="19"/>
        </w:rPr>
        <w:t>Table 2.</w:t>
      </w:r>
      <w:r>
        <w:rPr>
          <w:sz w:val="19"/>
        </w:rPr>
        <w:t xml:space="preserve"> Admissibility of the viscosity closures (Propositions 2 and 3).</w:t>
      </w:r>
    </w:p>
    <w:tbl>
      <w:tblPr>
        <w:tblStyle w:val="TableGrid"/>
        <w:tblW w:type="auto" w:w="0"/>
        <w:jc w:val="center"/>
        <w:tblLayout w:type="fixed"/>
        <w:tblLook w:firstColumn="1" w:firstRow="1" w:lastColumn="0" w:lastRow="0" w:noHBand="0" w:noVBand="1" w:val="04A0"/>
      </w:tblPr>
      <w:tblGrid>
        <w:gridCol w:w="2448"/>
        <w:gridCol w:w="2448"/>
        <w:gridCol w:w="2736"/>
        <w:gridCol w:w="1728"/>
      </w:tblGrid>
      <w:tr>
        <w:trPr>
          <w:tblHeader w:val="true"/>
        </w:trPr>
        <w:tc>
          <w:tcPr>
            <w:tcW w:type="dxa" w:w="2448"/>
            <w:shd w:val="clear" w:color="auto" w:fill="E7ECF1"/>
          </w:tcPr>
          <w:p>
            <w:pPr>
              <w:spacing w:line="240" w:lineRule="auto" w:after="20"/>
            </w:pPr>
            <w:r/>
            <w:r>
              <w:rPr>
                <w:b/>
                <w:sz w:val="17"/>
              </w:rPr>
              <w:t>Closure F(Λ)</w:t>
            </w:r>
          </w:p>
        </w:tc>
        <w:tc>
          <w:tcPr>
            <w:tcW w:type="dxa" w:w="2448"/>
            <w:shd w:val="clear" w:color="auto" w:fill="E7ECF1"/>
          </w:tcPr>
          <w:p>
            <w:pPr>
              <w:spacing w:line="240" w:lineRule="auto" w:after="20"/>
            </w:pPr>
            <w:r/>
            <w:r>
              <w:rPr>
                <w:b/>
                <w:sz w:val="17"/>
              </w:rPr>
              <w:t>Behaviour of Ψ = ΛF</w:t>
            </w:r>
          </w:p>
        </w:tc>
        <w:tc>
          <w:tcPr>
            <w:tcW w:type="dxa" w:w="2736"/>
            <w:shd w:val="clear" w:color="auto" w:fill="E7ECF1"/>
          </w:tcPr>
          <w:p>
            <w:pPr>
              <w:spacing w:line="240" w:lineRule="auto" w:after="20"/>
            </w:pPr>
            <w:r/>
            <w:r>
              <w:rPr>
                <w:b/>
                <w:sz w:val="17"/>
              </w:rPr>
              <w:t>Steady state for all Θ?</w:t>
            </w:r>
          </w:p>
        </w:tc>
        <w:tc>
          <w:tcPr>
            <w:tcW w:type="dxa" w:w="1728"/>
            <w:shd w:val="clear" w:color="auto" w:fill="E7ECF1"/>
          </w:tcPr>
          <w:p>
            <w:pPr>
              <w:spacing w:line="240" w:lineRule="auto" w:after="20"/>
            </w:pPr>
            <w:r/>
            <w:r>
              <w:rPr>
                <w:b/>
                <w:sz w:val="17"/>
              </w:rPr>
              <w:t>Threshold</w:t>
            </w:r>
          </w:p>
        </w:tc>
      </w:tr>
      <w:tr>
        <w:tc>
          <w:tcPr>
            <w:tcW w:type="dxa" w:w="2448"/>
          </w:tcPr>
          <w:p>
            <w:pPr>
              <w:spacing w:line="240" w:lineRule="auto" w:after="20"/>
            </w:pPr>
            <w:r/>
            <w:r>
              <w:rPr>
                <w:sz w:val="17"/>
              </w:rPr>
              <w:t>1 (constant)</w:t>
            </w:r>
          </w:p>
        </w:tc>
        <w:tc>
          <w:tcPr>
            <w:tcW w:type="dxa" w:w="2448"/>
          </w:tcPr>
          <w:p>
            <w:pPr>
              <w:spacing w:line="240" w:lineRule="auto" w:after="20"/>
            </w:pPr>
            <w:r/>
            <w:r>
              <w:rPr>
                <w:sz w:val="17"/>
              </w:rPr>
              <w:t>Ψ = Λ, unbounded</w:t>
            </w:r>
          </w:p>
        </w:tc>
        <w:tc>
          <w:tcPr>
            <w:tcW w:type="dxa" w:w="2736"/>
          </w:tcPr>
          <w:p>
            <w:pPr>
              <w:spacing w:line="240" w:lineRule="auto" w:after="20"/>
            </w:pPr>
            <w:r/>
            <w:r>
              <w:rPr>
                <w:sz w:val="17"/>
              </w:rPr>
              <w:t>yes</w:t>
            </w:r>
          </w:p>
        </w:tc>
        <w:tc>
          <w:tcPr>
            <w:tcW w:type="dxa" w:w="1728"/>
          </w:tcPr>
          <w:p>
            <w:pPr>
              <w:spacing w:line="240" w:lineRule="auto" w:after="20"/>
            </w:pPr>
            <w:r/>
            <w:r>
              <w:rPr>
                <w:sz w:val="17"/>
              </w:rPr>
              <w:t>–</w:t>
            </w:r>
          </w:p>
        </w:tc>
      </w:tr>
      <w:tr>
        <w:tc>
          <w:tcPr>
            <w:tcW w:type="dxa" w:w="2448"/>
          </w:tcPr>
          <w:p>
            <w:pPr>
              <w:spacing w:line="240" w:lineRule="auto" w:after="20"/>
            </w:pPr>
            <w:r/>
            <w:r>
              <w:rPr>
                <w:sz w:val="17"/>
              </w:rPr>
              <w:t>1/(1 + Λ</w:t>
            </w:r>
            <w:r>
              <w:rPr>
                <w:sz w:val="17"/>
                <w:vertAlign w:val="superscript"/>
              </w:rPr>
              <w:t>m</w:t>
            </w:r>
            <w:r>
              <w:rPr>
                <w:sz w:val="17"/>
              </w:rPr>
              <w:t>), m &lt; 1</w:t>
            </w:r>
          </w:p>
        </w:tc>
        <w:tc>
          <w:tcPr>
            <w:tcW w:type="dxa" w:w="2448"/>
          </w:tcPr>
          <w:p>
            <w:pPr>
              <w:spacing w:line="240" w:lineRule="auto" w:after="20"/>
            </w:pPr>
            <w:r/>
            <w:r>
              <w:rPr>
                <w:sz w:val="17"/>
              </w:rPr>
              <w:t>increasing, unbounded</w:t>
            </w:r>
          </w:p>
        </w:tc>
        <w:tc>
          <w:tcPr>
            <w:tcW w:type="dxa" w:w="2736"/>
          </w:tcPr>
          <w:p>
            <w:pPr>
              <w:spacing w:line="240" w:lineRule="auto" w:after="20"/>
            </w:pPr>
            <w:r/>
            <w:r>
              <w:rPr>
                <w:sz w:val="17"/>
              </w:rPr>
              <w:t>yes</w:t>
            </w:r>
          </w:p>
        </w:tc>
        <w:tc>
          <w:tcPr>
            <w:tcW w:type="dxa" w:w="1728"/>
          </w:tcPr>
          <w:p>
            <w:pPr>
              <w:spacing w:line="240" w:lineRule="auto" w:after="20"/>
            </w:pPr>
            <w:r/>
            <w:r>
              <w:rPr>
                <w:sz w:val="17"/>
              </w:rPr>
              <w:t>–</w:t>
            </w:r>
          </w:p>
        </w:tc>
      </w:tr>
      <w:tr>
        <w:tc>
          <w:tcPr>
            <w:tcW w:type="dxa" w:w="2448"/>
          </w:tcPr>
          <w:p>
            <w:pPr>
              <w:spacing w:line="240" w:lineRule="auto" w:after="20"/>
            </w:pPr>
            <w:r/>
            <w:r>
              <w:rPr>
                <w:sz w:val="17"/>
              </w:rPr>
              <w:t>1/(1 + Λ), m = 1</w:t>
            </w:r>
          </w:p>
        </w:tc>
        <w:tc>
          <w:tcPr>
            <w:tcW w:type="dxa" w:w="2448"/>
          </w:tcPr>
          <w:p>
            <w:pPr>
              <w:spacing w:line="240" w:lineRule="auto" w:after="20"/>
            </w:pPr>
            <w:r/>
            <w:r>
              <w:rPr>
                <w:sz w:val="17"/>
              </w:rPr>
              <w:t>increasing, Ψ → 1</w:t>
            </w:r>
          </w:p>
        </w:tc>
        <w:tc>
          <w:tcPr>
            <w:tcW w:type="dxa" w:w="2736"/>
          </w:tcPr>
          <w:p>
            <w:pPr>
              <w:spacing w:line="240" w:lineRule="auto" w:after="20"/>
            </w:pPr>
            <w:r/>
            <w:r>
              <w:rPr>
                <w:sz w:val="17"/>
              </w:rPr>
              <w:t>no, saturates</w:t>
            </w:r>
          </w:p>
        </w:tc>
        <w:tc>
          <w:tcPr>
            <w:tcW w:type="dxa" w:w="1728"/>
          </w:tcPr>
          <w:p>
            <w:pPr>
              <w:spacing w:line="240" w:lineRule="auto" w:after="20"/>
            </w:pPr>
            <w:r/>
            <w:r>
              <w:rPr>
                <w:sz w:val="17"/>
              </w:rPr>
              <w:t>Θ &lt; 1</w:t>
            </w:r>
          </w:p>
        </w:tc>
      </w:tr>
      <w:tr>
        <w:tc>
          <w:tcPr>
            <w:tcW w:type="dxa" w:w="2448"/>
          </w:tcPr>
          <w:p>
            <w:pPr>
              <w:spacing w:line="240" w:lineRule="auto" w:after="20"/>
            </w:pPr>
            <w:r/>
            <w:r>
              <w:rPr>
                <w:sz w:val="17"/>
              </w:rPr>
              <w:t>1/(1 + Λ²), m = 2</w:t>
            </w:r>
          </w:p>
        </w:tc>
        <w:tc>
          <w:tcPr>
            <w:tcW w:type="dxa" w:w="2448"/>
          </w:tcPr>
          <w:p>
            <w:pPr>
              <w:spacing w:line="240" w:lineRule="auto" w:after="20"/>
            </w:pPr>
            <w:r/>
            <w:r>
              <w:rPr>
                <w:sz w:val="17"/>
              </w:rPr>
              <w:t>maximum 1/2 at Λ = 1</w:t>
            </w:r>
          </w:p>
        </w:tc>
        <w:tc>
          <w:tcPr>
            <w:tcW w:type="dxa" w:w="2736"/>
          </w:tcPr>
          <w:p>
            <w:pPr>
              <w:spacing w:line="240" w:lineRule="auto" w:after="20"/>
            </w:pPr>
            <w:r/>
            <w:r>
              <w:rPr>
                <w:sz w:val="17"/>
              </w:rPr>
              <w:t>no, fold</w:t>
            </w:r>
          </w:p>
        </w:tc>
        <w:tc>
          <w:tcPr>
            <w:tcW w:type="dxa" w:w="1728"/>
          </w:tcPr>
          <w:p>
            <w:pPr>
              <w:spacing w:line="240" w:lineRule="auto" w:after="20"/>
            </w:pPr>
            <w:r/>
            <w:r>
              <w:rPr>
                <w:sz w:val="17"/>
              </w:rPr>
              <w:t>Θ &lt; 1/2</w:t>
            </w:r>
          </w:p>
        </w:tc>
      </w:tr>
      <w:tr>
        <w:tc>
          <w:tcPr>
            <w:tcW w:type="dxa" w:w="2448"/>
          </w:tcPr>
          <w:p>
            <w:pPr>
              <w:spacing w:line="240" w:lineRule="auto" w:after="20"/>
            </w:pPr>
            <w:r/>
            <w:r>
              <w:rPr>
                <w:sz w:val="17"/>
              </w:rPr>
              <w:t>f + (1 − f)/(1 + Λ²)</w:t>
            </w:r>
          </w:p>
        </w:tc>
        <w:tc>
          <w:tcPr>
            <w:tcW w:type="dxa" w:w="2448"/>
          </w:tcPr>
          <w:p>
            <w:pPr>
              <w:spacing w:line="240" w:lineRule="auto" w:after="20"/>
            </w:pPr>
            <w:r/>
            <w:r>
              <w:rPr>
                <w:sz w:val="17"/>
              </w:rPr>
              <w:t>increasing iff f &gt; 1/9</w:t>
            </w:r>
          </w:p>
        </w:tc>
        <w:tc>
          <w:tcPr>
            <w:tcW w:type="dxa" w:w="2736"/>
          </w:tcPr>
          <w:p>
            <w:pPr>
              <w:spacing w:line="240" w:lineRule="auto" w:after="20"/>
            </w:pPr>
            <w:r/>
            <w:r>
              <w:rPr>
                <w:sz w:val="17"/>
              </w:rPr>
              <w:t>yes if f &gt; 1/9</w:t>
            </w:r>
          </w:p>
        </w:tc>
        <w:tc>
          <w:tcPr>
            <w:tcW w:type="dxa" w:w="1728"/>
          </w:tcPr>
          <w:p>
            <w:pPr>
              <w:spacing w:line="240" w:lineRule="auto" w:after="20"/>
            </w:pPr>
            <w:r/>
            <w:r>
              <w:rPr>
                <w:sz w:val="17"/>
              </w:rPr>
              <w:t>f &gt; 1/9 = 0.1111</w:t>
            </w:r>
          </w:p>
        </w:tc>
      </w:tr>
      <w:tr>
        <w:tc>
          <w:tcPr>
            <w:tcW w:type="dxa" w:w="2448"/>
          </w:tcPr>
          <w:p>
            <w:pPr>
              <w:spacing w:line="240" w:lineRule="auto" w:after="20"/>
            </w:pPr>
            <w:r/>
            <w:r>
              <w:rPr>
                <w:sz w:val="17"/>
              </w:rPr>
              <w:t>f + (1 − f)exp(−αΛ²)</w:t>
            </w:r>
          </w:p>
        </w:tc>
        <w:tc>
          <w:tcPr>
            <w:tcW w:type="dxa" w:w="2448"/>
          </w:tcPr>
          <w:p>
            <w:pPr>
              <w:spacing w:line="240" w:lineRule="auto" w:after="20"/>
            </w:pPr>
            <w:r/>
            <w:r>
              <w:rPr>
                <w:sz w:val="17"/>
              </w:rPr>
              <w:t>increasing iff f &gt; 0.3086</w:t>
            </w:r>
          </w:p>
        </w:tc>
        <w:tc>
          <w:tcPr>
            <w:tcW w:type="dxa" w:w="2736"/>
          </w:tcPr>
          <w:p>
            <w:pPr>
              <w:spacing w:line="240" w:lineRule="auto" w:after="20"/>
            </w:pPr>
            <w:r/>
            <w:r>
              <w:rPr>
                <w:sz w:val="17"/>
              </w:rPr>
              <w:t>yes if f &gt; 0.3086</w:t>
            </w:r>
          </w:p>
        </w:tc>
        <w:tc>
          <w:tcPr>
            <w:tcW w:type="dxa" w:w="1728"/>
          </w:tcPr>
          <w:p>
            <w:pPr>
              <w:spacing w:line="240" w:lineRule="auto" w:after="20"/>
            </w:pPr>
            <w:r/>
            <w:r>
              <w:rPr>
                <w:sz w:val="17"/>
              </w:rPr>
              <w:t>f &gt; 0.3086, any α</w:t>
            </w:r>
          </w:p>
        </w:tc>
      </w:tr>
    </w:tbl>
    <w:p>
      <w:pPr>
        <w:spacing w:after="40"/>
      </w:pPr>
    </w:p>
    <w:p>
      <w:pPr>
        <w:keepNext w:val="0"/>
        <w:jc w:val="both"/>
      </w:pPr>
      <w:r>
        <w:rPr>
          <w:b/>
        </w:rPr>
        <w:t>Remark (heat closure).</w:t>
      </w:r>
      <w:r>
        <w:t xml:space="preserve"> The heat closure of Eq. (3) is not of this type. The shearing rate ω</w:t>
      </w:r>
      <w:r>
        <w:rPr>
          <w:vertAlign w:val="subscript"/>
        </w:rPr>
        <w:t>E</w:t>
      </w:r>
      <w:r>
        <w:t xml:space="preserve"> depends on the second derivative of the temperature, so the heat flux is not a function of the local gradient alone and Proposition 2 cannot be applied to it directly. Whether the steady heat balance has a solution for every s</w:t>
      </w:r>
      <w:r>
        <w:rPr>
          <w:vertAlign w:val="subscript"/>
        </w:rPr>
        <w:t>c</w:t>
      </w:r>
      <w:r>
        <w:t xml:space="preserve"> is therefore a numerical question, answered in Section 5.4.</w:t>
      </w:r>
    </w:p>
    <w:p>
      <w:pPr>
        <w:pStyle w:val="Heading1"/>
      </w:pPr>
      <w:r>
        <w:rPr>
          <w:rFonts w:ascii="Times New Roman" w:hAnsi="Times New Roman"/>
        </w:rPr>
        <w:t>4. Numerical method and verification</w:t>
      </w:r>
    </w:p>
    <w:p>
      <w:pPr>
        <w:pStyle w:val="Heading2"/>
      </w:pPr>
      <w:r>
        <w:rPr>
          <w:rFonts w:ascii="Times New Roman" w:hAnsi="Times New Roman"/>
        </w:rPr>
        <w:t>4.1 Method</w:t>
      </w:r>
    </w:p>
    <w:p>
      <w:pPr>
        <w:keepNext w:val="0"/>
        <w:jc w:val="both"/>
      </w:pPr>
      <w:r>
        <w:t>The energy equation is discretised conservatively on N uniform cells in r (finite volume, face conductivities from the arithmetic mean of the adjacent cell values). The baseline diffusivity uses the cell-centred central gradient. The shearing rate is evaluated from the face-centred radial electric field, with E</w:t>
      </w:r>
      <w:r>
        <w:rPr>
          <w:vertAlign w:val="subscript"/>
        </w:rPr>
        <w:t>r</w:t>
      </w:r>
      <w:r>
        <w:t xml:space="preserve"> = 0 on the axis by symmetry, an even-in-r extrapolation of qE</w:t>
      </w:r>
      <w:r>
        <w:rPr>
          <w:vertAlign w:val="subscript"/>
        </w:rPr>
        <w:t>r</w:t>
      </w:r>
      <w:r>
        <w:t>/(rB) to the axis so that the 0/0 limit at r → 0 is treated consistently on every grid, and a half-cell difference to the fixed edge value. Steady states are obtained by damped Newton iteration with a banded central-difference Jacobian, started from a backward-Euler pseudo-time march of the baseline and followed in s</w:t>
      </w:r>
      <w:r>
        <w:rPr>
          <w:vertAlign w:val="subscript"/>
        </w:rPr>
        <w:t>c</w:t>
      </w:r>
      <w:r>
        <w:t xml:space="preserve"> by natural continuation. Near the fold the branch is followed by pseudo-arclength continuation in 1/s</w:t>
      </w:r>
      <w:r>
        <w:rPr>
          <w:vertAlign w:val="subscript"/>
        </w:rPr>
        <w:t>c</w:t>
      </w:r>
      <w:r>
        <w:t>. Linear stability is read from the eigenvalues of the Jacobian of the semi-discrete system dT/dt = (conduction + sources)/(3ne). The rotation equation is solved by scaled Newton iteration with continuation in the torque amplitude, and torque ramps by backward-Euler marching, so that the branch is selected by the dynamics. All runs are deterministic. Details and tolerances are in Appendix A.</w:t>
      </w:r>
    </w:p>
    <w:p>
      <w:pPr>
        <w:pStyle w:val="Heading2"/>
      </w:pPr>
      <w:r>
        <w:rPr>
          <w:rFonts w:ascii="Times New Roman" w:hAnsi="Times New Roman"/>
        </w:rPr>
        <w:t>4.2 Verification</w:t>
      </w:r>
    </w:p>
    <w:p>
      <w:pPr>
        <w:keepNext/>
        <w:spacing w:line="276" w:lineRule="auto" w:after="200"/>
      </w:pPr>
      <w:r>
        <w:rPr>
          <w:b/>
          <w:sz w:val="19"/>
        </w:rPr>
        <w:t>Table 3.</w:t>
      </w:r>
      <w:r>
        <w:rPr>
          <w:sz w:val="19"/>
        </w:rPr>
        <w:t xml:space="preserve"> Verification checks (all reproduced by tests.py; 38 checks).</w:t>
      </w:r>
    </w:p>
    <w:tbl>
      <w:tblPr>
        <w:tblStyle w:val="TableGrid"/>
        <w:tblW w:type="auto" w:w="0"/>
        <w:jc w:val="center"/>
        <w:tblLayout w:type="fixed"/>
        <w:tblLook w:firstColumn="1" w:firstRow="1" w:lastColumn="0" w:lastRow="0" w:noHBand="0" w:noVBand="1" w:val="04A0"/>
      </w:tblPr>
      <w:tblGrid>
        <w:gridCol w:w="4320"/>
        <w:gridCol w:w="5040"/>
      </w:tblGrid>
      <w:tr>
        <w:trPr>
          <w:tblHeader w:val="true"/>
        </w:trPr>
        <w:tc>
          <w:tcPr>
            <w:tcW w:type="dxa" w:w="4320"/>
            <w:shd w:val="clear" w:color="auto" w:fill="E7ECF1"/>
          </w:tcPr>
          <w:p>
            <w:pPr>
              <w:spacing w:line="240" w:lineRule="auto" w:after="20"/>
            </w:pPr>
            <w:r/>
            <w:r>
              <w:rPr>
                <w:b/>
                <w:sz w:val="17"/>
              </w:rPr>
              <w:t>Check</w:t>
            </w:r>
          </w:p>
        </w:tc>
        <w:tc>
          <w:tcPr>
            <w:tcW w:type="dxa" w:w="5040"/>
            <w:shd w:val="clear" w:color="auto" w:fill="E7ECF1"/>
          </w:tcPr>
          <w:p>
            <w:pPr>
              <w:spacing w:line="240" w:lineRule="auto" w:after="20"/>
            </w:pPr>
            <w:r/>
            <w:r>
              <w:rPr>
                <w:b/>
                <w:sz w:val="17"/>
              </w:rPr>
              <w:t>Result</w:t>
            </w:r>
          </w:p>
        </w:tc>
      </w:tr>
      <w:tr>
        <w:tc>
          <w:tcPr>
            <w:tcW w:type="dxa" w:w="4320"/>
          </w:tcPr>
          <w:p>
            <w:pPr>
              <w:spacing w:line="240" w:lineRule="auto" w:after="20"/>
            </w:pPr>
            <w:r/>
            <w:r>
              <w:rPr>
                <w:sz w:val="17"/>
              </w:rPr>
              <w:t>Bosch–Hale reactivity at 10 and 20 keV</w:t>
            </w:r>
          </w:p>
        </w:tc>
        <w:tc>
          <w:tcPr>
            <w:tcW w:type="dxa" w:w="5040"/>
          </w:tcPr>
          <w:p>
            <w:pPr>
              <w:spacing w:line="240" w:lineRule="auto" w:after="20"/>
            </w:pPr>
            <w:r/>
            <w:r>
              <w:rPr>
                <w:sz w:val="17"/>
              </w:rPr>
              <w:t>1.136×10</w:t>
            </w:r>
            <w:r>
              <w:rPr>
                <w:sz w:val="17"/>
                <w:vertAlign w:val="superscript"/>
              </w:rPr>
              <w:t>−22</w:t>
            </w:r>
            <w:r>
              <w:rPr>
                <w:sz w:val="17"/>
              </w:rPr>
              <w:t xml:space="preserve"> and 4.33×10</w:t>
            </w:r>
            <w:r>
              <w:rPr>
                <w:sz w:val="17"/>
                <w:vertAlign w:val="superscript"/>
              </w:rPr>
              <w:t>−22</w:t>
            </w:r>
            <w:r>
              <w:rPr>
                <w:sz w:val="17"/>
              </w:rPr>
              <w:t xml:space="preserve"> m³ s</w:t>
            </w:r>
            <w:r>
              <w:rPr>
                <w:sz w:val="17"/>
                <w:vertAlign w:val="superscript"/>
              </w:rPr>
              <w:t>−1</w:t>
            </w:r>
            <w:r>
              <w:rPr>
                <w:sz w:val="17"/>
              </w:rPr>
              <w:t xml:space="preserve"> (reference values 1.136×10</w:t>
            </w:r>
            <w:r>
              <w:rPr>
                <w:sz w:val="17"/>
                <w:vertAlign w:val="superscript"/>
              </w:rPr>
              <w:t>−22</w:t>
            </w:r>
            <w:r>
              <w:rPr>
                <w:sz w:val="17"/>
              </w:rPr>
              <w:t xml:space="preserve"> and 4.33×10</w:t>
            </w:r>
            <w:r>
              <w:rPr>
                <w:sz w:val="17"/>
                <w:vertAlign w:val="superscript"/>
              </w:rPr>
              <w:t>−22</w:t>
            </w:r>
            <w:r>
              <w:rPr>
                <w:sz w:val="17"/>
              </w:rPr>
              <w:t>)</w:t>
            </w:r>
          </w:p>
        </w:tc>
      </w:tr>
      <w:tr>
        <w:tc>
          <w:tcPr>
            <w:tcW w:type="dxa" w:w="4320"/>
          </w:tcPr>
          <w:p>
            <w:pPr>
              <w:spacing w:line="240" w:lineRule="auto" w:after="20"/>
            </w:pPr>
            <w:r/>
            <w:r>
              <w:rPr>
                <w:sz w:val="17"/>
              </w:rPr>
              <w:t>Power balance, (P</w:t>
            </w:r>
            <w:r>
              <w:rPr>
                <w:sz w:val="17"/>
                <w:vertAlign w:val="subscript"/>
              </w:rPr>
              <w:t>aux</w:t>
            </w:r>
            <w:r>
              <w:rPr>
                <w:sz w:val="17"/>
              </w:rPr>
              <w:t xml:space="preserve"> + P</w:t>
            </w:r>
            <w:r>
              <w:rPr>
                <w:sz w:val="17"/>
                <w:vertAlign w:val="subscript"/>
              </w:rPr>
              <w:t>α</w:t>
            </w:r>
            <w:r>
              <w:rPr>
                <w:sz w:val="17"/>
              </w:rPr>
              <w:t xml:space="preserve"> − P</w:t>
            </w:r>
            <w:r>
              <w:rPr>
                <w:sz w:val="17"/>
                <w:vertAlign w:val="subscript"/>
              </w:rPr>
              <w:t>rad</w:t>
            </w:r>
            <w:r>
              <w:rPr>
                <w:sz w:val="17"/>
              </w:rPr>
              <w:t xml:space="preserve"> − boundary conduction)/(P</w:t>
            </w:r>
            <w:r>
              <w:rPr>
                <w:sz w:val="17"/>
                <w:vertAlign w:val="subscript"/>
              </w:rPr>
              <w:t>aux</w:t>
            </w:r>
            <w:r>
              <w:rPr>
                <w:sz w:val="17"/>
              </w:rPr>
              <w:t xml:space="preserve"> + P</w:t>
            </w:r>
            <w:r>
              <w:rPr>
                <w:sz w:val="17"/>
                <w:vertAlign w:val="subscript"/>
              </w:rPr>
              <w:t>α</w:t>
            </w:r>
            <w:r>
              <w:rPr>
                <w:sz w:val="17"/>
              </w:rPr>
              <w:t>)</w:t>
            </w:r>
          </w:p>
        </w:tc>
        <w:tc>
          <w:tcPr>
            <w:tcW w:type="dxa" w:w="5040"/>
          </w:tcPr>
          <w:p>
            <w:pPr>
              <w:spacing w:line="240" w:lineRule="auto" w:after="20"/>
            </w:pPr>
            <w:r/>
            <w:r>
              <w:rPr>
                <w:sz w:val="17"/>
              </w:rPr>
              <w:t>below 10</w:t>
            </w:r>
            <w:r>
              <w:rPr>
                <w:sz w:val="17"/>
                <w:vertAlign w:val="superscript"/>
              </w:rPr>
              <w:t>−9</w:t>
            </w:r>
            <w:r>
              <w:rPr>
                <w:sz w:val="17"/>
              </w:rPr>
              <w:t xml:space="preserve"> for the baseline, s</w:t>
            </w:r>
            <w:r>
              <w:rPr>
                <w:sz w:val="17"/>
                <w:vertAlign w:val="subscript"/>
              </w:rPr>
              <w:t>c</w:t>
            </w:r>
            <w:r>
              <w:rPr>
                <w:sz w:val="17"/>
              </w:rPr>
              <w:t xml:space="preserve"> = 0.5 and s</w:t>
            </w:r>
            <w:r>
              <w:rPr>
                <w:sz w:val="17"/>
                <w:vertAlign w:val="subscript"/>
              </w:rPr>
              <w:t>c</w:t>
            </w:r>
            <w:r>
              <w:rPr>
                <w:sz w:val="17"/>
              </w:rPr>
              <w:t xml:space="preserve"> = 0.1 (baseline: 4.9×10</w:t>
            </w:r>
            <w:r>
              <w:rPr>
                <w:sz w:val="17"/>
                <w:vertAlign w:val="superscript"/>
              </w:rPr>
              <w:t>−12</w:t>
            </w:r>
            <w:r>
              <w:rPr>
                <w:sz w:val="17"/>
              </w:rPr>
              <w:t>)</w:t>
            </w:r>
          </w:p>
        </w:tc>
      </w:tr>
      <w:tr>
        <w:tc>
          <w:tcPr>
            <w:tcW w:type="dxa" w:w="4320"/>
          </w:tcPr>
          <w:p>
            <w:pPr>
              <w:spacing w:line="240" w:lineRule="auto" w:after="20"/>
            </w:pPr>
            <w:r/>
            <w:r>
              <w:rPr>
                <w:sz w:val="17"/>
              </w:rPr>
              <w:t>s</w:t>
            </w:r>
            <w:r>
              <w:rPr>
                <w:sz w:val="17"/>
                <w:vertAlign w:val="subscript"/>
              </w:rPr>
              <w:t>c</w:t>
            </w:r>
            <w:r>
              <w:rPr>
                <w:sz w:val="17"/>
              </w:rPr>
              <w:t xml:space="preserve"> = 10</w:t>
            </w:r>
            <w:r>
              <w:rPr>
                <w:sz w:val="17"/>
                <w:vertAlign w:val="superscript"/>
              </w:rPr>
              <w:t>9</w:t>
            </w:r>
            <w:r>
              <w:rPr>
                <w:sz w:val="17"/>
              </w:rPr>
              <w:t xml:space="preserve"> against the baseline</w:t>
            </w:r>
          </w:p>
        </w:tc>
        <w:tc>
          <w:tcPr>
            <w:tcW w:type="dxa" w:w="5040"/>
          </w:tcPr>
          <w:p>
            <w:pPr>
              <w:spacing w:line="240" w:lineRule="auto" w:after="20"/>
            </w:pPr>
            <w:r/>
            <w:r>
              <w:rPr>
                <w:sz w:val="17"/>
              </w:rPr>
              <w:t>identical temperature profile (maximum difference 0 keV)</w:t>
            </w:r>
          </w:p>
        </w:tc>
      </w:tr>
      <w:tr>
        <w:tc>
          <w:tcPr>
            <w:tcW w:type="dxa" w:w="4320"/>
          </w:tcPr>
          <w:p>
            <w:pPr>
              <w:spacing w:line="240" w:lineRule="auto" w:after="20"/>
            </w:pPr>
            <w:r/>
            <w:r>
              <w:rPr>
                <w:sz w:val="17"/>
              </w:rPr>
              <w:t>Initial-profile independence (s</w:t>
            </w:r>
            <w:r>
              <w:rPr>
                <w:sz w:val="17"/>
                <w:vertAlign w:val="subscript"/>
              </w:rPr>
              <w:t>c</w:t>
            </w:r>
            <w:r>
              <w:rPr>
                <w:sz w:val="17"/>
              </w:rPr>
              <w:t xml:space="preserve"> = 0.5)</w:t>
            </w:r>
          </w:p>
        </w:tc>
        <w:tc>
          <w:tcPr>
            <w:tcW w:type="dxa" w:w="5040"/>
          </w:tcPr>
          <w:p>
            <w:pPr>
              <w:spacing w:line="240" w:lineRule="auto" w:after="20"/>
            </w:pPr>
            <w:r/>
            <w:r>
              <w:rPr>
                <w:sz w:val="17"/>
              </w:rPr>
              <w:t>maximum difference 1.1×10</w:t>
            </w:r>
            <w:r>
              <w:rPr>
                <w:sz w:val="17"/>
                <w:vertAlign w:val="superscript"/>
              </w:rPr>
              <w:t>−10</w:t>
            </w:r>
            <w:r>
              <w:rPr>
                <w:sz w:val="17"/>
              </w:rPr>
              <w:t xml:space="preserve"> keV between two initial profiles</w:t>
            </w:r>
          </w:p>
        </w:tc>
      </w:tr>
      <w:tr>
        <w:tc>
          <w:tcPr>
            <w:tcW w:type="dxa" w:w="4320"/>
          </w:tcPr>
          <w:p>
            <w:pPr>
              <w:spacing w:line="240" w:lineRule="auto" w:after="20"/>
            </w:pPr>
            <w:r/>
            <w:r>
              <w:rPr>
                <w:sz w:val="17"/>
              </w:rPr>
              <w:t>Independent time integration (Radau, rtol = atol = 10</w:t>
            </w:r>
            <w:r>
              <w:rPr>
                <w:sz w:val="17"/>
                <w:vertAlign w:val="superscript"/>
              </w:rPr>
              <w:t>−8</w:t>
            </w:r>
            <w:r>
              <w:rPr>
                <w:sz w:val="17"/>
              </w:rPr>
              <w:t>) against the Newton steady state</w:t>
            </w:r>
          </w:p>
        </w:tc>
        <w:tc>
          <w:tcPr>
            <w:tcW w:type="dxa" w:w="5040"/>
          </w:tcPr>
          <w:p>
            <w:pPr>
              <w:spacing w:line="240" w:lineRule="auto" w:after="20"/>
            </w:pPr>
            <w:r/>
            <w:r>
              <w:rPr>
                <w:sz w:val="17"/>
              </w:rPr>
              <w:t>maximum temperature difference 3.2×10</w:t>
            </w:r>
            <w:r>
              <w:rPr>
                <w:sz w:val="17"/>
                <w:vertAlign w:val="superscript"/>
              </w:rPr>
              <w:t>−11</w:t>
            </w:r>
            <w:r>
              <w:rPr>
                <w:sz w:val="17"/>
              </w:rPr>
              <w:t xml:space="preserve"> keV over s</w:t>
            </w:r>
            <w:r>
              <w:rPr>
                <w:sz w:val="17"/>
                <w:vertAlign w:val="subscript"/>
              </w:rPr>
              <w:t>c</w:t>
            </w:r>
            <w:r>
              <w:rPr>
                <w:sz w:val="17"/>
              </w:rPr>
              <w:t xml:space="preserve"> = ∞, 0.5, 0.1</w:t>
            </w:r>
          </w:p>
        </w:tc>
      </w:tr>
      <w:tr>
        <w:tc>
          <w:tcPr>
            <w:tcW w:type="dxa" w:w="4320"/>
          </w:tcPr>
          <w:p>
            <w:pPr>
              <w:spacing w:line="240" w:lineRule="auto" w:after="20"/>
            </w:pPr>
            <w:r/>
            <w:r>
              <w:rPr>
                <w:sz w:val="17"/>
              </w:rPr>
              <w:t>Observed order of grid convergence of Q (N = 100, 200, 400)</w:t>
            </w:r>
          </w:p>
        </w:tc>
        <w:tc>
          <w:tcPr>
            <w:tcW w:type="dxa" w:w="5040"/>
          </w:tcPr>
          <w:p>
            <w:pPr>
              <w:spacing w:line="240" w:lineRule="auto" w:after="20"/>
            </w:pPr>
            <w:r/>
            <w:r>
              <w:rPr>
                <w:sz w:val="17"/>
              </w:rPr>
              <w:t>2.00 (baseline) to 1.08 (s</w:t>
            </w:r>
            <w:r>
              <w:rPr>
                <w:sz w:val="17"/>
                <w:vertAlign w:val="subscript"/>
              </w:rPr>
              <w:t>c</w:t>
            </w:r>
            <w:r>
              <w:rPr>
                <w:sz w:val="17"/>
              </w:rPr>
              <w:t xml:space="preserve"> = 0.07)</w:t>
            </w:r>
          </w:p>
        </w:tc>
      </w:tr>
      <w:tr>
        <w:tc>
          <w:tcPr>
            <w:tcW w:type="dxa" w:w="4320"/>
          </w:tcPr>
          <w:p>
            <w:pPr>
              <w:spacing w:line="240" w:lineRule="auto" w:after="20"/>
            </w:pPr>
            <w:r/>
            <w:r>
              <w:rPr>
                <w:sz w:val="17"/>
              </w:rPr>
              <w:t>Leading eigenvalue of the s</w:t>
            </w:r>
            <w:r>
              <w:rPr>
                <w:sz w:val="17"/>
                <w:vertAlign w:val="subscript"/>
              </w:rPr>
              <w:t>c</w:t>
            </w:r>
            <w:r>
              <w:rPr>
                <w:sz w:val="17"/>
              </w:rPr>
              <w:t xml:space="preserve"> = 2 state, N = 100 and 400</w:t>
            </w:r>
          </w:p>
        </w:tc>
        <w:tc>
          <w:tcPr>
            <w:tcW w:type="dxa" w:w="5040"/>
          </w:tcPr>
          <w:p>
            <w:pPr>
              <w:spacing w:line="240" w:lineRule="auto" w:after="20"/>
            </w:pPr>
            <w:r/>
            <w:r>
              <w:rPr>
                <w:sz w:val="17"/>
              </w:rPr>
              <w:t>-2.6745 and -2.6751 s</w:t>
            </w:r>
            <w:r>
              <w:rPr>
                <w:sz w:val="17"/>
                <w:vertAlign w:val="superscript"/>
              </w:rPr>
              <w:t>−1</w:t>
            </w:r>
            <w:r>
              <w:rPr>
                <w:sz w:val="17"/>
              </w:rPr>
              <w:t>; independent of the grid</w:t>
            </w:r>
          </w:p>
        </w:tc>
      </w:tr>
      <w:tr>
        <w:tc>
          <w:tcPr>
            <w:tcW w:type="dxa" w:w="4320"/>
          </w:tcPr>
          <w:p>
            <w:pPr>
              <w:spacing w:line="240" w:lineRule="auto" w:after="20"/>
            </w:pPr>
            <w:r/>
            <w:r>
              <w:rPr>
                <w:sz w:val="17"/>
              </w:rPr>
              <w:t>Steady flux relation, 17 cases of m and torque</w:t>
            </w:r>
          </w:p>
        </w:tc>
        <w:tc>
          <w:tcPr>
            <w:tcW w:type="dxa" w:w="5040"/>
          </w:tcPr>
          <w:p>
            <w:pPr>
              <w:spacing w:line="240" w:lineRule="auto" w:after="20"/>
            </w:pPr>
            <w:r/>
            <w:r>
              <w:rPr>
                <w:sz w:val="17"/>
              </w:rPr>
              <w:t>maximum relative error in Λ</w:t>
            </w:r>
            <w:r>
              <w:rPr>
                <w:sz w:val="17"/>
                <w:vertAlign w:val="subscript"/>
              </w:rPr>
              <w:t>max</w:t>
            </w:r>
            <w:r>
              <w:rPr>
                <w:sz w:val="17"/>
              </w:rPr>
              <w:t xml:space="preserve"> 4.8×10</w:t>
            </w:r>
            <w:r>
              <w:rPr>
                <w:sz w:val="17"/>
                <w:vertAlign w:val="superscript"/>
              </w:rPr>
              <w:t>−11</w:t>
            </w:r>
            <w:r>
              <w:rPr>
                <w:sz w:val="17"/>
              </w:rPr>
              <w:t>; existence agrees with Θ &lt; Ψ</w:t>
            </w:r>
            <w:r>
              <w:rPr>
                <w:sz w:val="17"/>
                <w:vertAlign w:val="subscript"/>
              </w:rPr>
              <w:t>∞</w:t>
            </w:r>
            <w:r>
              <w:rPr>
                <w:sz w:val="17"/>
              </w:rPr>
              <w:t xml:space="preserve"> in every case</w:t>
            </w:r>
          </w:p>
        </w:tc>
      </w:tr>
      <w:tr>
        <w:tc>
          <w:tcPr>
            <w:tcW w:type="dxa" w:w="4320"/>
          </w:tcPr>
          <w:p>
            <w:pPr>
              <w:spacing w:line="240" w:lineRule="auto" w:after="20"/>
            </w:pPr>
            <w:r/>
            <w:r>
              <w:rPr>
                <w:sz w:val="17"/>
              </w:rPr>
              <w:t>Closure thresholds by numerical bisection</w:t>
            </w:r>
          </w:p>
        </w:tc>
        <w:tc>
          <w:tcPr>
            <w:tcW w:type="dxa" w:w="5040"/>
          </w:tcPr>
          <w:p>
            <w:pPr>
              <w:spacing w:line="240" w:lineRule="auto" w:after="20"/>
            </w:pPr>
            <w:r/>
            <w:r>
              <w:rPr>
                <w:sz w:val="17"/>
              </w:rPr>
              <w:t>f = 0.111111 (1/9 = 0.111111) and f = 0.308562 (0.308562)</w:t>
            </w:r>
          </w:p>
        </w:tc>
      </w:tr>
    </w:tbl>
    <w:p>
      <w:pPr>
        <w:spacing w:after="40"/>
      </w:pPr>
    </w:p>
    <w:p>
      <w:pPr>
        <w:pStyle w:val="Heading2"/>
      </w:pPr>
      <w:r>
        <w:rPr>
          <w:rFonts w:ascii="Times New Roman" w:hAnsi="Times New Roman"/>
        </w:rPr>
        <w:t>4.3 Numerical pitfalls found during verification</w:t>
      </w:r>
    </w:p>
    <w:p>
      <w:pPr>
        <w:keepNext w:val="0"/>
        <w:jc w:val="both"/>
      </w:pPr>
      <w:r>
        <w:t>Two pitfalls are recorded because the quantities involved depend on second derivatives and are easy to get wrong. (i) A finite-difference Jacobian step that is small compared with the temperature but large compared with the sensitivity of ω</w:t>
      </w:r>
      <w:r>
        <w:rPr>
          <w:vertAlign w:val="subscript"/>
        </w:rPr>
        <w:t>E</w:t>
      </w:r>
      <w:r>
        <w:t xml:space="preserve"> gives a wrong derivative: near the axis ω</w:t>
      </w:r>
      <w:r>
        <w:rPr>
          <w:vertAlign w:val="subscript"/>
        </w:rPr>
        <w:t>E</w:t>
      </w:r>
      <w:r>
        <w:t>/γ</w:t>
      </w:r>
      <w:r>
        <w:rPr>
          <w:vertAlign w:val="subscript"/>
        </w:rPr>
        <w:t>0</w:t>
      </w:r>
      <w:r>
        <w:t xml:space="preserve"> is about 10</w:t>
      </w:r>
      <w:r>
        <w:rPr>
          <w:vertAlign w:val="superscript"/>
        </w:rPr>
        <w:t>−5</w:t>
      </w:r>
      <w:r>
        <w:t xml:space="preserve"> while its derivative with respect to a single cell temperature is about 10² keV</w:t>
      </w:r>
      <w:r>
        <w:rPr>
          <w:vertAlign w:val="superscript"/>
        </w:rPr>
        <w:t>−1</w:t>
      </w:r>
      <w:r>
        <w:t xml:space="preserve"> at N = 400, so that a relative step of 10</w:t>
      </w:r>
      <w:r>
        <w:rPr>
          <w:vertAlign w:val="superscript"/>
        </w:rPr>
        <w:t>−6</w:t>
      </w:r>
      <w:r>
        <w:t xml:space="preserve"> makes the quadratic term of the suppression factor dominate and produces a spurious destabilising contribution to the leading eigenvalue, a spurious fold at s</w:t>
      </w:r>
      <w:r>
        <w:rPr>
          <w:vertAlign w:val="subscript"/>
        </w:rPr>
        <w:t>c</w:t>
      </w:r>
      <w:r>
        <w:t xml:space="preserve"> ≈ 1 for N = 400 and failures of the Newton iteration. With a central-difference step of 10</w:t>
      </w:r>
      <w:r>
        <w:rPr>
          <w:vertAlign w:val="superscript"/>
        </w:rPr>
        <w:t>−8</w:t>
      </w:r>
      <w:r>
        <w:t xml:space="preserve"> (relative) the eigenvalue is grid independent (Table 3); tests.py contains a regression test. (ii) At N ≥ 400 the Newton residual cannot be reduced below about 10</w:t>
      </w:r>
      <w:r>
        <w:rPr>
          <w:vertAlign w:val="superscript"/>
        </w:rPr>
        <w:t>−10</w:t>
      </w:r>
      <w:r>
        <w:t xml:space="preserve"> of the total heating because of round-off in the conduction divergence, so the acceptance tolerance is 10</w:t>
      </w:r>
      <w:r>
        <w:rPr>
          <w:vertAlign w:val="superscript"/>
        </w:rPr>
        <w:t>−8</w:t>
      </w:r>
      <w:r>
        <w:t>.</w:t>
      </w:r>
    </w:p>
    <w:p>
      <w:pPr>
        <w:pStyle w:val="Heading1"/>
      </w:pPr>
      <w:r>
        <w:rPr>
          <w:rFonts w:ascii="Times New Roman" w:hAnsi="Times New Roman"/>
        </w:rPr>
        <w:t>5. Results</w:t>
      </w:r>
    </w:p>
    <w:p>
      <w:pPr>
        <w:pStyle w:val="Heading2"/>
      </w:pPr>
      <w:r>
        <w:rPr>
          <w:rFonts w:ascii="Times New Roman" w:hAnsi="Times New Roman"/>
        </w:rPr>
        <w:t>5.1 Controlled comparison with diamagnetic shear</w:t>
      </w:r>
    </w:p>
    <w:p>
      <w:pPr>
        <w:keepNext w:val="0"/>
        <w:jc w:val="both"/>
      </w:pPr>
      <w:r>
        <w:t>Table 4 compares the baseline with the closure at 40 MW with E</w:t>
      </w:r>
      <w:r>
        <w:rPr>
          <w:vertAlign w:val="subscript"/>
        </w:rPr>
        <w:t>r</w:t>
      </w:r>
      <w:r>
        <w:t xml:space="preserve"> from the pressure gradient alone. The largest shearing rate is ω</w:t>
      </w:r>
      <w:r>
        <w:rPr>
          <w:vertAlign w:val="subscript"/>
        </w:rPr>
        <w:t>E</w:t>
      </w:r>
      <w:r>
        <w:t>/γ</w:t>
      </w:r>
      <w:r>
        <w:rPr>
          <w:vertAlign w:val="subscript"/>
        </w:rPr>
        <w:t>0</w:t>
      </w:r>
      <w:r>
        <w:t xml:space="preserve"> = 0.116 for the baseline profile, 0.122 at s</w:t>
      </w:r>
      <w:r>
        <w:rPr>
          <w:vertAlign w:val="subscript"/>
        </w:rPr>
        <w:t>c</w:t>
      </w:r>
      <w:r>
        <w:t xml:space="preserve"> = 0.5 and 0.171 at s</w:t>
      </w:r>
      <w:r>
        <w:rPr>
          <w:vertAlign w:val="subscript"/>
        </w:rPr>
        <w:t>c</w:t>
      </w:r>
      <w:r>
        <w:t xml:space="preserve"> = 0.1, located in the last cell before the edge (Figure 1c), so that the suppression is concentrated at the edge: at s</w:t>
      </w:r>
      <w:r>
        <w:rPr>
          <w:vertAlign w:val="subscript"/>
        </w:rPr>
        <w:t>c</w:t>
      </w:r>
      <w:r>
        <w:t xml:space="preserve"> = 0.5 the diffusivity is reduced by at most 6% there. The changes in Q, P</w:t>
      </w:r>
      <w:r>
        <w:rPr>
          <w:vertAlign w:val="subscript"/>
        </w:rPr>
        <w:t>fus</w:t>
      </w:r>
      <w:r>
        <w:t xml:space="preserve"> and τ</w:t>
      </w:r>
      <w:r>
        <w:rPr>
          <w:vertAlign w:val="subscript"/>
        </w:rPr>
        <w:t>E</w:t>
      </w:r>
      <w:r>
        <w:t xml:space="preserve"> are small: at s</w:t>
      </w:r>
      <w:r>
        <w:rPr>
          <w:vertAlign w:val="subscript"/>
        </w:rPr>
        <w:t>c</w:t>
      </w:r>
      <w:r>
        <w:t xml:space="preserve"> = 0.5, Q rises by 0.27% and τ</w:t>
      </w:r>
      <w:r>
        <w:rPr>
          <w:vertAlign w:val="subscript"/>
        </w:rPr>
        <w:t>E</w:t>
      </w:r>
      <w:r>
        <w:t xml:space="preserve"> changes by 0.008%; at s</w:t>
      </w:r>
      <w:r>
        <w:rPr>
          <w:vertAlign w:val="subscript"/>
        </w:rPr>
        <w:t>c</w:t>
      </w:r>
      <w:r>
        <w:t xml:space="preserve"> = 0.3, Q rises by 0.81%.</w:t>
      </w:r>
    </w:p>
    <w:p>
      <w:pPr>
        <w:keepNext/>
        <w:spacing w:line="276" w:lineRule="auto" w:after="200"/>
      </w:pPr>
      <w:r>
        <w:rPr>
          <w:b/>
          <w:sz w:val="19"/>
        </w:rPr>
        <w:t>Table 4.</w:t>
      </w:r>
      <w:r>
        <w:rPr>
          <w:sz w:val="19"/>
        </w:rPr>
        <w:t xml:space="preserve"> Baseline and closure at P</w:t>
      </w:r>
      <w:r>
        <w:rPr>
          <w:sz w:val="19"/>
          <w:vertAlign w:val="subscript"/>
        </w:rPr>
        <w:t>aux</w:t>
      </w:r>
      <w:r>
        <w:rPr>
          <w:sz w:val="19"/>
        </w:rPr>
        <w:t xml:space="preserve"> = 40 MW (N = 100). All other inputs are identical; every row is a steady state of the lower branch with power-balance residual below 10</w:t>
      </w:r>
      <w:r>
        <w:rPr>
          <w:sz w:val="19"/>
          <w:vertAlign w:val="superscript"/>
        </w:rPr>
        <w:t>−9</w:t>
      </w:r>
      <w:r>
        <w:rPr>
          <w:sz w:val="19"/>
        </w:rPr>
        <w:t>.</w:t>
      </w:r>
    </w:p>
    <w:tbl>
      <w:tblPr>
        <w:tblStyle w:val="TableGrid"/>
        <w:tblW w:type="auto" w:w="0"/>
        <w:jc w:val="center"/>
        <w:tblLayout w:type="fixed"/>
        <w:tblLook w:firstColumn="1" w:firstRow="1" w:lastColumn="0" w:lastRow="0" w:noHBand="0" w:noVBand="1" w:val="04A0"/>
      </w:tblPr>
      <w:tblGrid>
        <w:gridCol w:w="2880"/>
        <w:gridCol w:w="864"/>
        <w:gridCol w:w="1152"/>
        <w:gridCol w:w="1008"/>
        <w:gridCol w:w="1008"/>
        <w:gridCol w:w="1008"/>
        <w:gridCol w:w="1152"/>
        <w:gridCol w:w="864"/>
      </w:tblGrid>
      <w:tr>
        <w:trPr>
          <w:tblHeader w:val="true"/>
        </w:trPr>
        <w:tc>
          <w:tcPr>
            <w:tcW w:type="dxa" w:w="2880"/>
            <w:shd w:val="clear" w:color="auto" w:fill="E7ECF1"/>
          </w:tcPr>
          <w:p>
            <w:pPr>
              <w:spacing w:line="240" w:lineRule="auto" w:after="20"/>
            </w:pPr>
            <w:r/>
            <w:r>
              <w:rPr>
                <w:b/>
                <w:sz w:val="17"/>
              </w:rPr>
              <w:t>Model</w:t>
            </w:r>
          </w:p>
        </w:tc>
        <w:tc>
          <w:tcPr>
            <w:tcW w:type="dxa" w:w="864"/>
            <w:shd w:val="clear" w:color="auto" w:fill="E7ECF1"/>
          </w:tcPr>
          <w:p>
            <w:pPr>
              <w:spacing w:line="240" w:lineRule="auto" w:after="20"/>
            </w:pPr>
            <w:r/>
            <w:r>
              <w:rPr>
                <w:b/>
                <w:sz w:val="17"/>
              </w:rPr>
              <w:t>Q</w:t>
            </w:r>
          </w:p>
        </w:tc>
        <w:tc>
          <w:tcPr>
            <w:tcW w:type="dxa" w:w="1152"/>
            <w:shd w:val="clear" w:color="auto" w:fill="E7ECF1"/>
          </w:tcPr>
          <w:p>
            <w:pPr>
              <w:spacing w:line="240" w:lineRule="auto" w:after="20"/>
            </w:pPr>
            <w:r/>
            <w:r>
              <w:rPr>
                <w:b/>
                <w:sz w:val="17"/>
              </w:rPr>
              <w:t>P</w:t>
            </w:r>
            <w:r>
              <w:rPr>
                <w:b/>
                <w:sz w:val="17"/>
                <w:vertAlign w:val="subscript"/>
              </w:rPr>
              <w:t>fus</w:t>
            </w:r>
            <w:r>
              <w:rPr>
                <w:b/>
                <w:sz w:val="17"/>
              </w:rPr>
              <w:t xml:space="preserve"> (MW)</w:t>
            </w:r>
          </w:p>
        </w:tc>
        <w:tc>
          <w:tcPr>
            <w:tcW w:type="dxa" w:w="1008"/>
            <w:shd w:val="clear" w:color="auto" w:fill="E7ECF1"/>
          </w:tcPr>
          <w:p>
            <w:pPr>
              <w:spacing w:line="240" w:lineRule="auto" w:after="20"/>
            </w:pPr>
            <w:r/>
            <w:r>
              <w:rPr>
                <w:b/>
                <w:sz w:val="17"/>
              </w:rPr>
              <w:t>τ</w:t>
            </w:r>
            <w:r>
              <w:rPr>
                <w:b/>
                <w:sz w:val="17"/>
                <w:vertAlign w:val="subscript"/>
              </w:rPr>
              <w:t>E</w:t>
            </w:r>
            <w:r>
              <w:rPr>
                <w:b/>
                <w:sz w:val="17"/>
              </w:rPr>
              <w:t xml:space="preserve"> (s)</w:t>
            </w:r>
          </w:p>
        </w:tc>
        <w:tc>
          <w:tcPr>
            <w:tcW w:type="dxa" w:w="1008"/>
            <w:shd w:val="clear" w:color="auto" w:fill="E7ECF1"/>
          </w:tcPr>
          <w:p>
            <w:pPr>
              <w:spacing w:line="240" w:lineRule="auto" w:after="20"/>
            </w:pPr>
            <w:r/>
            <w:r>
              <w:rPr>
                <w:b/>
                <w:sz w:val="17"/>
              </w:rPr>
              <w:t>⟨T⟩ (keV)</w:t>
            </w:r>
          </w:p>
        </w:tc>
        <w:tc>
          <w:tcPr>
            <w:tcW w:type="dxa" w:w="1008"/>
            <w:shd w:val="clear" w:color="auto" w:fill="E7ECF1"/>
          </w:tcPr>
          <w:p>
            <w:pPr>
              <w:spacing w:line="240" w:lineRule="auto" w:after="20"/>
            </w:pPr>
            <w:r/>
            <w:r>
              <w:rPr>
                <w:b/>
                <w:sz w:val="17"/>
              </w:rPr>
              <w:t>T</w:t>
            </w:r>
            <w:r>
              <w:rPr>
                <w:b/>
                <w:sz w:val="17"/>
                <w:vertAlign w:val="subscript"/>
              </w:rPr>
              <w:t>0</w:t>
            </w:r>
            <w:r>
              <w:rPr>
                <w:b/>
                <w:sz w:val="17"/>
              </w:rPr>
              <w:t xml:space="preserve"> (keV)</w:t>
            </w:r>
          </w:p>
        </w:tc>
        <w:tc>
          <w:tcPr>
            <w:tcW w:type="dxa" w:w="1152"/>
            <w:shd w:val="clear" w:color="auto" w:fill="E7ECF1"/>
          </w:tcPr>
          <w:p>
            <w:pPr>
              <w:spacing w:line="240" w:lineRule="auto" w:after="20"/>
            </w:pPr>
            <w:r/>
            <w:r>
              <w:rPr>
                <w:b/>
                <w:sz w:val="17"/>
              </w:rPr>
              <w:t>max ω</w:t>
            </w:r>
            <w:r>
              <w:rPr>
                <w:b/>
                <w:sz w:val="17"/>
                <w:vertAlign w:val="subscript"/>
              </w:rPr>
              <w:t>E</w:t>
            </w:r>
            <w:r>
              <w:rPr>
                <w:b/>
                <w:sz w:val="17"/>
              </w:rPr>
              <w:t>/γ</w:t>
            </w:r>
            <w:r>
              <w:rPr>
                <w:b/>
                <w:sz w:val="17"/>
                <w:vertAlign w:val="subscript"/>
              </w:rPr>
              <w:t>0</w:t>
            </w:r>
          </w:p>
        </w:tc>
        <w:tc>
          <w:tcPr>
            <w:tcW w:type="dxa" w:w="864"/>
            <w:shd w:val="clear" w:color="auto" w:fill="E7ECF1"/>
          </w:tcPr>
          <w:p>
            <w:pPr>
              <w:spacing w:line="240" w:lineRule="auto" w:after="20"/>
            </w:pPr>
            <w:r/>
            <w:r>
              <w:rPr>
                <w:b/>
                <w:sz w:val="17"/>
              </w:rPr>
              <w:t>ΔQ/Q</w:t>
            </w:r>
          </w:p>
        </w:tc>
      </w:tr>
      <w:tr>
        <w:tc>
          <w:tcPr>
            <w:tcW w:type="dxa" w:w="2880"/>
          </w:tcPr>
          <w:p>
            <w:pPr>
              <w:spacing w:line="240" w:lineRule="auto" w:after="20"/>
            </w:pPr>
            <w:r/>
            <w:r>
              <w:rPr>
                <w:sz w:val="17"/>
              </w:rPr>
              <w:t>Baseline (stiff critical gradient)</w:t>
            </w:r>
          </w:p>
        </w:tc>
        <w:tc>
          <w:tcPr>
            <w:tcW w:type="dxa" w:w="864"/>
          </w:tcPr>
          <w:p>
            <w:pPr>
              <w:spacing w:line="240" w:lineRule="auto" w:after="20"/>
            </w:pPr>
            <w:r/>
            <w:r>
              <w:rPr>
                <w:sz w:val="17"/>
              </w:rPr>
              <w:t>3.7030</w:t>
            </w:r>
          </w:p>
        </w:tc>
        <w:tc>
          <w:tcPr>
            <w:tcW w:type="dxa" w:w="1152"/>
          </w:tcPr>
          <w:p>
            <w:pPr>
              <w:spacing w:line="240" w:lineRule="auto" w:after="20"/>
            </w:pPr>
            <w:r/>
            <w:r>
              <w:rPr>
                <w:sz w:val="17"/>
              </w:rPr>
              <w:t>148.1</w:t>
            </w:r>
          </w:p>
        </w:tc>
        <w:tc>
          <w:tcPr>
            <w:tcW w:type="dxa" w:w="1008"/>
          </w:tcPr>
          <w:p>
            <w:pPr>
              <w:spacing w:line="240" w:lineRule="auto" w:after="20"/>
            </w:pPr>
            <w:r/>
            <w:r>
              <w:rPr>
                <w:sz w:val="17"/>
              </w:rPr>
              <w:t>1.8360</w:t>
            </w:r>
          </w:p>
        </w:tc>
        <w:tc>
          <w:tcPr>
            <w:tcW w:type="dxa" w:w="1008"/>
          </w:tcPr>
          <w:p>
            <w:pPr>
              <w:spacing w:line="240" w:lineRule="auto" w:after="20"/>
            </w:pPr>
            <w:r/>
            <w:r>
              <w:rPr>
                <w:sz w:val="17"/>
              </w:rPr>
              <w:t>7.366</w:t>
            </w:r>
          </w:p>
        </w:tc>
        <w:tc>
          <w:tcPr>
            <w:tcW w:type="dxa" w:w="1008"/>
          </w:tcPr>
          <w:p>
            <w:pPr>
              <w:spacing w:line="240" w:lineRule="auto" w:after="20"/>
            </w:pPr>
            <w:r/>
            <w:r>
              <w:rPr>
                <w:sz w:val="17"/>
              </w:rPr>
              <w:t>15.25</w:t>
            </w:r>
          </w:p>
        </w:tc>
        <w:tc>
          <w:tcPr>
            <w:tcW w:type="dxa" w:w="1152"/>
          </w:tcPr>
          <w:p>
            <w:pPr>
              <w:spacing w:line="240" w:lineRule="auto" w:after="20"/>
            </w:pPr>
            <w:r/>
            <w:r>
              <w:rPr>
                <w:sz w:val="17"/>
              </w:rPr>
              <w:t>0.116</w:t>
            </w:r>
          </w:p>
        </w:tc>
        <w:tc>
          <w:tcPr>
            <w:tcW w:type="dxa" w:w="864"/>
          </w:tcPr>
          <w:p>
            <w:pPr>
              <w:spacing w:line="240" w:lineRule="auto" w:after="20"/>
            </w:pPr>
            <w:r/>
            <w:r>
              <w:rPr>
                <w:sz w:val="17"/>
              </w:rPr>
              <w:t>–</w:t>
            </w:r>
          </w:p>
        </w:tc>
      </w:tr>
      <w:tr>
        <w:tc>
          <w:tcPr>
            <w:tcW w:type="dxa" w:w="2880"/>
          </w:tcPr>
          <w:p>
            <w:pPr>
              <w:spacing w:line="240" w:lineRule="auto" w:after="20"/>
            </w:pPr>
            <w:r/>
            <w:r>
              <w:rPr>
                <w:sz w:val="17"/>
              </w:rPr>
              <w:t>Closure, s</w:t>
            </w:r>
            <w:r>
              <w:rPr>
                <w:sz w:val="17"/>
                <w:vertAlign w:val="subscript"/>
              </w:rPr>
              <w:t>c</w:t>
            </w:r>
            <w:r>
              <w:rPr>
                <w:sz w:val="17"/>
              </w:rPr>
              <w:t xml:space="preserve"> = 1</w:t>
            </w:r>
          </w:p>
        </w:tc>
        <w:tc>
          <w:tcPr>
            <w:tcW w:type="dxa" w:w="864"/>
          </w:tcPr>
          <w:p>
            <w:pPr>
              <w:spacing w:line="240" w:lineRule="auto" w:after="20"/>
            </w:pPr>
            <w:r/>
            <w:r>
              <w:rPr>
                <w:sz w:val="17"/>
              </w:rPr>
              <w:t>3.7054</w:t>
            </w:r>
          </w:p>
        </w:tc>
        <w:tc>
          <w:tcPr>
            <w:tcW w:type="dxa" w:w="1152"/>
          </w:tcPr>
          <w:p>
            <w:pPr>
              <w:spacing w:line="240" w:lineRule="auto" w:after="20"/>
            </w:pPr>
            <w:r/>
            <w:r>
              <w:rPr>
                <w:sz w:val="17"/>
              </w:rPr>
              <w:t>148.2</w:t>
            </w:r>
          </w:p>
        </w:tc>
        <w:tc>
          <w:tcPr>
            <w:tcW w:type="dxa" w:w="1008"/>
          </w:tcPr>
          <w:p>
            <w:pPr>
              <w:spacing w:line="240" w:lineRule="auto" w:after="20"/>
            </w:pPr>
            <w:r/>
            <w:r>
              <w:rPr>
                <w:sz w:val="17"/>
              </w:rPr>
              <w:t>1.8359</w:t>
            </w:r>
          </w:p>
        </w:tc>
        <w:tc>
          <w:tcPr>
            <w:tcW w:type="dxa" w:w="1008"/>
          </w:tcPr>
          <w:p>
            <w:pPr>
              <w:spacing w:line="240" w:lineRule="auto" w:after="20"/>
            </w:pPr>
            <w:r/>
            <w:r>
              <w:rPr>
                <w:sz w:val="17"/>
              </w:rPr>
              <w:t>7.368</w:t>
            </w:r>
          </w:p>
        </w:tc>
        <w:tc>
          <w:tcPr>
            <w:tcW w:type="dxa" w:w="1008"/>
          </w:tcPr>
          <w:p>
            <w:pPr>
              <w:spacing w:line="240" w:lineRule="auto" w:after="20"/>
            </w:pPr>
            <w:r/>
            <w:r>
              <w:rPr>
                <w:sz w:val="17"/>
              </w:rPr>
              <w:t>15.25</w:t>
            </w:r>
          </w:p>
        </w:tc>
        <w:tc>
          <w:tcPr>
            <w:tcW w:type="dxa" w:w="1152"/>
          </w:tcPr>
          <w:p>
            <w:pPr>
              <w:spacing w:line="240" w:lineRule="auto" w:after="20"/>
            </w:pPr>
            <w:r/>
            <w:r>
              <w:rPr>
                <w:sz w:val="17"/>
              </w:rPr>
              <w:t>0.118</w:t>
            </w:r>
          </w:p>
        </w:tc>
        <w:tc>
          <w:tcPr>
            <w:tcW w:type="dxa" w:w="864"/>
          </w:tcPr>
          <w:p>
            <w:pPr>
              <w:spacing w:line="240" w:lineRule="auto" w:after="20"/>
            </w:pPr>
            <w:r/>
            <w:r>
              <w:rPr>
                <w:sz w:val="17"/>
              </w:rPr>
              <w:t>0.07%</w:t>
            </w:r>
          </w:p>
        </w:tc>
      </w:tr>
      <w:tr>
        <w:tc>
          <w:tcPr>
            <w:tcW w:type="dxa" w:w="2880"/>
          </w:tcPr>
          <w:p>
            <w:pPr>
              <w:spacing w:line="240" w:lineRule="auto" w:after="20"/>
            </w:pPr>
            <w:r/>
            <w:r>
              <w:rPr>
                <w:sz w:val="17"/>
              </w:rPr>
              <w:t>Closure, s</w:t>
            </w:r>
            <w:r>
              <w:rPr>
                <w:sz w:val="17"/>
                <w:vertAlign w:val="subscript"/>
              </w:rPr>
              <w:t>c</w:t>
            </w:r>
            <w:r>
              <w:rPr>
                <w:sz w:val="17"/>
              </w:rPr>
              <w:t xml:space="preserve"> = 0.5</w:t>
            </w:r>
          </w:p>
        </w:tc>
        <w:tc>
          <w:tcPr>
            <w:tcW w:type="dxa" w:w="864"/>
          </w:tcPr>
          <w:p>
            <w:pPr>
              <w:spacing w:line="240" w:lineRule="auto" w:after="20"/>
            </w:pPr>
            <w:r/>
            <w:r>
              <w:rPr>
                <w:sz w:val="17"/>
              </w:rPr>
              <w:t>3.7130</w:t>
            </w:r>
          </w:p>
        </w:tc>
        <w:tc>
          <w:tcPr>
            <w:tcW w:type="dxa" w:w="1152"/>
          </w:tcPr>
          <w:p>
            <w:pPr>
              <w:spacing w:line="240" w:lineRule="auto" w:after="20"/>
            </w:pPr>
            <w:r/>
            <w:r>
              <w:rPr>
                <w:sz w:val="17"/>
              </w:rPr>
              <w:t>148.5</w:t>
            </w:r>
          </w:p>
        </w:tc>
        <w:tc>
          <w:tcPr>
            <w:tcW w:type="dxa" w:w="1008"/>
          </w:tcPr>
          <w:p>
            <w:pPr>
              <w:spacing w:line="240" w:lineRule="auto" w:after="20"/>
            </w:pPr>
            <w:r/>
            <w:r>
              <w:rPr>
                <w:sz w:val="17"/>
              </w:rPr>
              <w:t>1.8358</w:t>
            </w:r>
          </w:p>
        </w:tc>
        <w:tc>
          <w:tcPr>
            <w:tcW w:type="dxa" w:w="1008"/>
          </w:tcPr>
          <w:p>
            <w:pPr>
              <w:spacing w:line="240" w:lineRule="auto" w:after="20"/>
            </w:pPr>
            <w:r/>
            <w:r>
              <w:rPr>
                <w:sz w:val="17"/>
              </w:rPr>
              <w:t>7.374</w:t>
            </w:r>
          </w:p>
        </w:tc>
        <w:tc>
          <w:tcPr>
            <w:tcW w:type="dxa" w:w="1008"/>
          </w:tcPr>
          <w:p>
            <w:pPr>
              <w:spacing w:line="240" w:lineRule="auto" w:after="20"/>
            </w:pPr>
            <w:r/>
            <w:r>
              <w:rPr>
                <w:sz w:val="17"/>
              </w:rPr>
              <w:t>15.27</w:t>
            </w:r>
          </w:p>
        </w:tc>
        <w:tc>
          <w:tcPr>
            <w:tcW w:type="dxa" w:w="1152"/>
          </w:tcPr>
          <w:p>
            <w:pPr>
              <w:spacing w:line="240" w:lineRule="auto" w:after="20"/>
            </w:pPr>
            <w:r/>
            <w:r>
              <w:rPr>
                <w:sz w:val="17"/>
              </w:rPr>
              <w:t>0.122</w:t>
            </w:r>
          </w:p>
        </w:tc>
        <w:tc>
          <w:tcPr>
            <w:tcW w:type="dxa" w:w="864"/>
          </w:tcPr>
          <w:p>
            <w:pPr>
              <w:spacing w:line="240" w:lineRule="auto" w:after="20"/>
            </w:pPr>
            <w:r/>
            <w:r>
              <w:rPr>
                <w:sz w:val="17"/>
              </w:rPr>
              <w:t>0.27%</w:t>
            </w:r>
          </w:p>
        </w:tc>
      </w:tr>
      <w:tr>
        <w:tc>
          <w:tcPr>
            <w:tcW w:type="dxa" w:w="2880"/>
          </w:tcPr>
          <w:p>
            <w:pPr>
              <w:spacing w:line="240" w:lineRule="auto" w:after="20"/>
            </w:pPr>
            <w:r/>
            <w:r>
              <w:rPr>
                <w:sz w:val="17"/>
              </w:rPr>
              <w:t>Closure, s</w:t>
            </w:r>
            <w:r>
              <w:rPr>
                <w:sz w:val="17"/>
                <w:vertAlign w:val="subscript"/>
              </w:rPr>
              <w:t>c</w:t>
            </w:r>
            <w:r>
              <w:rPr>
                <w:sz w:val="17"/>
              </w:rPr>
              <w:t xml:space="preserve"> = 0.3</w:t>
            </w:r>
          </w:p>
        </w:tc>
        <w:tc>
          <w:tcPr>
            <w:tcW w:type="dxa" w:w="864"/>
          </w:tcPr>
          <w:p>
            <w:pPr>
              <w:spacing w:line="240" w:lineRule="auto" w:after="20"/>
            </w:pPr>
            <w:r/>
            <w:r>
              <w:rPr>
                <w:sz w:val="17"/>
              </w:rPr>
              <w:t>3.7329</w:t>
            </w:r>
          </w:p>
        </w:tc>
        <w:tc>
          <w:tcPr>
            <w:tcW w:type="dxa" w:w="1152"/>
          </w:tcPr>
          <w:p>
            <w:pPr>
              <w:spacing w:line="240" w:lineRule="auto" w:after="20"/>
            </w:pPr>
            <w:r/>
            <w:r>
              <w:rPr>
                <w:sz w:val="17"/>
              </w:rPr>
              <w:t>149.3</w:t>
            </w:r>
          </w:p>
        </w:tc>
        <w:tc>
          <w:tcPr>
            <w:tcW w:type="dxa" w:w="1008"/>
          </w:tcPr>
          <w:p>
            <w:pPr>
              <w:spacing w:line="240" w:lineRule="auto" w:after="20"/>
            </w:pPr>
            <w:r/>
            <w:r>
              <w:rPr>
                <w:sz w:val="17"/>
              </w:rPr>
              <w:t>1.8355</w:t>
            </w:r>
          </w:p>
        </w:tc>
        <w:tc>
          <w:tcPr>
            <w:tcW w:type="dxa" w:w="1008"/>
          </w:tcPr>
          <w:p>
            <w:pPr>
              <w:spacing w:line="240" w:lineRule="auto" w:after="20"/>
            </w:pPr>
            <w:r/>
            <w:r>
              <w:rPr>
                <w:sz w:val="17"/>
              </w:rPr>
              <w:t>7.390</w:t>
            </w:r>
          </w:p>
        </w:tc>
        <w:tc>
          <w:tcPr>
            <w:tcW w:type="dxa" w:w="1008"/>
          </w:tcPr>
          <w:p>
            <w:pPr>
              <w:spacing w:line="240" w:lineRule="auto" w:after="20"/>
            </w:pPr>
            <w:r/>
            <w:r>
              <w:rPr>
                <w:sz w:val="17"/>
              </w:rPr>
              <w:t>15.30</w:t>
            </w:r>
          </w:p>
        </w:tc>
        <w:tc>
          <w:tcPr>
            <w:tcW w:type="dxa" w:w="1152"/>
          </w:tcPr>
          <w:p>
            <w:pPr>
              <w:spacing w:line="240" w:lineRule="auto" w:after="20"/>
            </w:pPr>
            <w:r/>
            <w:r>
              <w:rPr>
                <w:sz w:val="17"/>
              </w:rPr>
              <w:t>0.131</w:t>
            </w:r>
          </w:p>
        </w:tc>
        <w:tc>
          <w:tcPr>
            <w:tcW w:type="dxa" w:w="864"/>
          </w:tcPr>
          <w:p>
            <w:pPr>
              <w:spacing w:line="240" w:lineRule="auto" w:after="20"/>
            </w:pPr>
            <w:r/>
            <w:r>
              <w:rPr>
                <w:sz w:val="17"/>
              </w:rPr>
              <w:t>0.81%</w:t>
            </w:r>
          </w:p>
        </w:tc>
      </w:tr>
      <w:tr>
        <w:tc>
          <w:tcPr>
            <w:tcW w:type="dxa" w:w="2880"/>
          </w:tcPr>
          <w:p>
            <w:pPr>
              <w:spacing w:line="240" w:lineRule="auto" w:after="20"/>
            </w:pPr>
            <w:r/>
            <w:r>
              <w:rPr>
                <w:sz w:val="17"/>
              </w:rPr>
              <w:t>Closure, s</w:t>
            </w:r>
            <w:r>
              <w:rPr>
                <w:sz w:val="17"/>
                <w:vertAlign w:val="subscript"/>
              </w:rPr>
              <w:t>c</w:t>
            </w:r>
            <w:r>
              <w:rPr>
                <w:sz w:val="17"/>
              </w:rPr>
              <w:t xml:space="preserve"> = 0.2</w:t>
            </w:r>
          </w:p>
        </w:tc>
        <w:tc>
          <w:tcPr>
            <w:tcW w:type="dxa" w:w="864"/>
          </w:tcPr>
          <w:p>
            <w:pPr>
              <w:spacing w:line="240" w:lineRule="auto" w:after="20"/>
            </w:pPr>
            <w:r/>
            <w:r>
              <w:rPr>
                <w:sz w:val="17"/>
              </w:rPr>
              <w:t>3.7807</w:t>
            </w:r>
          </w:p>
        </w:tc>
        <w:tc>
          <w:tcPr>
            <w:tcW w:type="dxa" w:w="1152"/>
          </w:tcPr>
          <w:p>
            <w:pPr>
              <w:spacing w:line="240" w:lineRule="auto" w:after="20"/>
            </w:pPr>
            <w:r/>
            <w:r>
              <w:rPr>
                <w:sz w:val="17"/>
              </w:rPr>
              <w:t>151.2</w:t>
            </w:r>
          </w:p>
        </w:tc>
        <w:tc>
          <w:tcPr>
            <w:tcW w:type="dxa" w:w="1008"/>
          </w:tcPr>
          <w:p>
            <w:pPr>
              <w:spacing w:line="240" w:lineRule="auto" w:after="20"/>
            </w:pPr>
            <w:r/>
            <w:r>
              <w:rPr>
                <w:sz w:val="17"/>
              </w:rPr>
              <w:t>1.8348</w:t>
            </w:r>
          </w:p>
        </w:tc>
        <w:tc>
          <w:tcPr>
            <w:tcW w:type="dxa" w:w="1008"/>
          </w:tcPr>
          <w:p>
            <w:pPr>
              <w:spacing w:line="240" w:lineRule="auto" w:after="20"/>
            </w:pPr>
            <w:r/>
            <w:r>
              <w:rPr>
                <w:sz w:val="17"/>
              </w:rPr>
              <w:t>7.427</w:t>
            </w:r>
          </w:p>
        </w:tc>
        <w:tc>
          <w:tcPr>
            <w:tcW w:type="dxa" w:w="1008"/>
          </w:tcPr>
          <w:p>
            <w:pPr>
              <w:spacing w:line="240" w:lineRule="auto" w:after="20"/>
            </w:pPr>
            <w:r/>
            <w:r>
              <w:rPr>
                <w:sz w:val="17"/>
              </w:rPr>
              <w:t>15.39</w:t>
            </w:r>
          </w:p>
        </w:tc>
        <w:tc>
          <w:tcPr>
            <w:tcW w:type="dxa" w:w="1152"/>
          </w:tcPr>
          <w:p>
            <w:pPr>
              <w:spacing w:line="240" w:lineRule="auto" w:after="20"/>
            </w:pPr>
            <w:r/>
            <w:r>
              <w:rPr>
                <w:sz w:val="17"/>
              </w:rPr>
              <w:t>0.144</w:t>
            </w:r>
          </w:p>
        </w:tc>
        <w:tc>
          <w:tcPr>
            <w:tcW w:type="dxa" w:w="864"/>
          </w:tcPr>
          <w:p>
            <w:pPr>
              <w:spacing w:line="240" w:lineRule="auto" w:after="20"/>
            </w:pPr>
            <w:r/>
            <w:r>
              <w:rPr>
                <w:sz w:val="17"/>
              </w:rPr>
              <w:t>2.10%</w:t>
            </w:r>
          </w:p>
        </w:tc>
      </w:tr>
      <w:tr>
        <w:tc>
          <w:tcPr>
            <w:tcW w:type="dxa" w:w="2880"/>
          </w:tcPr>
          <w:p>
            <w:pPr>
              <w:spacing w:line="240" w:lineRule="auto" w:after="20"/>
            </w:pPr>
            <w:r/>
            <w:r>
              <w:rPr>
                <w:sz w:val="17"/>
              </w:rPr>
              <w:t>Closure, s</w:t>
            </w:r>
            <w:r>
              <w:rPr>
                <w:sz w:val="17"/>
                <w:vertAlign w:val="subscript"/>
              </w:rPr>
              <w:t>c</w:t>
            </w:r>
            <w:r>
              <w:rPr>
                <w:sz w:val="17"/>
              </w:rPr>
              <w:t xml:space="preserve"> = 0.1</w:t>
            </w:r>
          </w:p>
        </w:tc>
        <w:tc>
          <w:tcPr>
            <w:tcW w:type="dxa" w:w="864"/>
          </w:tcPr>
          <w:p>
            <w:pPr>
              <w:spacing w:line="240" w:lineRule="auto" w:after="20"/>
            </w:pPr>
            <w:r/>
            <w:r>
              <w:rPr>
                <w:sz w:val="17"/>
              </w:rPr>
              <w:t>4.1608</w:t>
            </w:r>
          </w:p>
        </w:tc>
        <w:tc>
          <w:tcPr>
            <w:tcW w:type="dxa" w:w="1152"/>
          </w:tcPr>
          <w:p>
            <w:pPr>
              <w:spacing w:line="240" w:lineRule="auto" w:after="20"/>
            </w:pPr>
            <w:r/>
            <w:r>
              <w:rPr>
                <w:sz w:val="17"/>
              </w:rPr>
              <w:t>166.4</w:t>
            </w:r>
          </w:p>
        </w:tc>
        <w:tc>
          <w:tcPr>
            <w:tcW w:type="dxa" w:w="1008"/>
          </w:tcPr>
          <w:p>
            <w:pPr>
              <w:spacing w:line="240" w:lineRule="auto" w:after="20"/>
            </w:pPr>
            <w:r/>
            <w:r>
              <w:rPr>
                <w:sz w:val="17"/>
              </w:rPr>
              <w:t>1.8286</w:t>
            </w:r>
          </w:p>
        </w:tc>
        <w:tc>
          <w:tcPr>
            <w:tcW w:type="dxa" w:w="1008"/>
          </w:tcPr>
          <w:p>
            <w:pPr>
              <w:spacing w:line="240" w:lineRule="auto" w:after="20"/>
            </w:pPr>
            <w:r/>
            <w:r>
              <w:rPr>
                <w:sz w:val="17"/>
              </w:rPr>
              <w:t>7.724</w:t>
            </w:r>
          </w:p>
        </w:tc>
        <w:tc>
          <w:tcPr>
            <w:tcW w:type="dxa" w:w="1008"/>
          </w:tcPr>
          <w:p>
            <w:pPr>
              <w:spacing w:line="240" w:lineRule="auto" w:after="20"/>
            </w:pPr>
            <w:r/>
            <w:r>
              <w:rPr>
                <w:sz w:val="17"/>
              </w:rPr>
              <w:t>16.06</w:t>
            </w:r>
          </w:p>
        </w:tc>
        <w:tc>
          <w:tcPr>
            <w:tcW w:type="dxa" w:w="1152"/>
          </w:tcPr>
          <w:p>
            <w:pPr>
              <w:spacing w:line="240" w:lineRule="auto" w:after="20"/>
            </w:pPr>
            <w:r/>
            <w:r>
              <w:rPr>
                <w:sz w:val="17"/>
              </w:rPr>
              <w:t>0.171</w:t>
            </w:r>
          </w:p>
        </w:tc>
        <w:tc>
          <w:tcPr>
            <w:tcW w:type="dxa" w:w="864"/>
          </w:tcPr>
          <w:p>
            <w:pPr>
              <w:spacing w:line="240" w:lineRule="auto" w:after="20"/>
            </w:pPr>
            <w:r/>
            <w:r>
              <w:rPr>
                <w:sz w:val="17"/>
              </w:rPr>
              <w:t>12.36%</w:t>
            </w:r>
          </w:p>
        </w:tc>
      </w:tr>
      <w:tr>
        <w:tc>
          <w:tcPr>
            <w:tcW w:type="dxa" w:w="2880"/>
          </w:tcPr>
          <w:p>
            <w:pPr>
              <w:spacing w:line="240" w:lineRule="auto" w:after="20"/>
            </w:pPr>
            <w:r/>
            <w:r>
              <w:rPr>
                <w:sz w:val="17"/>
              </w:rPr>
              <w:t>Closure, s</w:t>
            </w:r>
            <w:r>
              <w:rPr>
                <w:sz w:val="17"/>
                <w:vertAlign w:val="subscript"/>
              </w:rPr>
              <w:t>c</w:t>
            </w:r>
            <w:r>
              <w:rPr>
                <w:sz w:val="17"/>
              </w:rPr>
              <w:t xml:space="preserve"> = 0.07</w:t>
            </w:r>
          </w:p>
        </w:tc>
        <w:tc>
          <w:tcPr>
            <w:tcW w:type="dxa" w:w="864"/>
          </w:tcPr>
          <w:p>
            <w:pPr>
              <w:spacing w:line="240" w:lineRule="auto" w:after="20"/>
            </w:pPr>
            <w:r/>
            <w:r>
              <w:rPr>
                <w:sz w:val="17"/>
              </w:rPr>
              <w:t>4.9978</w:t>
            </w:r>
          </w:p>
        </w:tc>
        <w:tc>
          <w:tcPr>
            <w:tcW w:type="dxa" w:w="1152"/>
          </w:tcPr>
          <w:p>
            <w:pPr>
              <w:spacing w:line="240" w:lineRule="auto" w:after="20"/>
            </w:pPr>
            <w:r/>
            <w:r>
              <w:rPr>
                <w:sz w:val="17"/>
              </w:rPr>
              <w:t>199.9</w:t>
            </w:r>
          </w:p>
        </w:tc>
        <w:tc>
          <w:tcPr>
            <w:tcW w:type="dxa" w:w="1008"/>
          </w:tcPr>
          <w:p>
            <w:pPr>
              <w:spacing w:line="240" w:lineRule="auto" w:after="20"/>
            </w:pPr>
            <w:r/>
            <w:r>
              <w:rPr>
                <w:sz w:val="17"/>
              </w:rPr>
              <w:t>1.8104</w:t>
            </w:r>
          </w:p>
        </w:tc>
        <w:tc>
          <w:tcPr>
            <w:tcW w:type="dxa" w:w="1008"/>
          </w:tcPr>
          <w:p>
            <w:pPr>
              <w:spacing w:line="240" w:lineRule="auto" w:after="20"/>
            </w:pPr>
            <w:r/>
            <w:r>
              <w:rPr>
                <w:sz w:val="17"/>
              </w:rPr>
              <w:t>8.346</w:t>
            </w:r>
          </w:p>
        </w:tc>
        <w:tc>
          <w:tcPr>
            <w:tcW w:type="dxa" w:w="1008"/>
          </w:tcPr>
          <w:p>
            <w:pPr>
              <w:spacing w:line="240" w:lineRule="auto" w:after="20"/>
            </w:pPr>
            <w:r/>
            <w:r>
              <w:rPr>
                <w:sz w:val="17"/>
              </w:rPr>
              <w:t>17.47</w:t>
            </w:r>
          </w:p>
        </w:tc>
        <w:tc>
          <w:tcPr>
            <w:tcW w:type="dxa" w:w="1152"/>
          </w:tcPr>
          <w:p>
            <w:pPr>
              <w:spacing w:line="240" w:lineRule="auto" w:after="20"/>
            </w:pPr>
            <w:r/>
            <w:r>
              <w:rPr>
                <w:sz w:val="17"/>
              </w:rPr>
              <w:t>0.199</w:t>
            </w:r>
          </w:p>
        </w:tc>
        <w:tc>
          <w:tcPr>
            <w:tcW w:type="dxa" w:w="864"/>
          </w:tcPr>
          <w:p>
            <w:pPr>
              <w:spacing w:line="240" w:lineRule="auto" w:after="20"/>
            </w:pPr>
            <w:r/>
            <w:r>
              <w:rPr>
                <w:sz w:val="17"/>
              </w:rPr>
              <w:t>34.97%</w:t>
            </w:r>
          </w:p>
        </w:tc>
      </w:tr>
    </w:tbl>
    <w:p>
      <w:pPr>
        <w:spacing w:after="40"/>
      </w:pPr>
    </w:p>
    <w:p>
      <w:pPr>
        <w:keepNext/>
        <w:spacing w:before="160" w:after="40"/>
        <w:jc w:val="center"/>
      </w:pPr>
      <w:r>
        <w:drawing>
          <wp:inline xmlns:a="http://schemas.openxmlformats.org/drawingml/2006/main" xmlns:pic="http://schemas.openxmlformats.org/drawingml/2006/picture">
            <wp:extent cx="5303520" cy="1793509"/>
            <wp:docPr id="1" name="Picture 1" descr="Three panels of radial profiles of temperature, diffusivity and normalised shearing rate for the baseline and two closure settings."/>
            <wp:cNvGraphicFramePr>
              <a:graphicFrameLocks noChangeAspect="1"/>
            </wp:cNvGraphicFramePr>
            <a:graphic>
              <a:graphicData uri="http://schemas.openxmlformats.org/drawingml/2006/picture">
                <pic:pic>
                  <pic:nvPicPr>
                    <pic:cNvPr id="0" name="fig1_profiles.png"/>
                    <pic:cNvPicPr/>
                  </pic:nvPicPr>
                  <pic:blipFill>
                    <a:blip r:embed="rId10"/>
                    <a:stretch>
                      <a:fillRect/>
                    </a:stretch>
                  </pic:blipFill>
                  <pic:spPr>
                    <a:xfrm>
                      <a:off x="0" y="0"/>
                      <a:ext cx="5303520" cy="1793509"/>
                    </a:xfrm>
                    <a:prstGeom prst="rect"/>
                  </pic:spPr>
                </pic:pic>
              </a:graphicData>
            </a:graphic>
          </wp:inline>
        </w:drawing>
      </w:r>
    </w:p>
    <w:p>
      <w:pPr>
        <w:keepNext w:val="0"/>
        <w:spacing w:line="276" w:lineRule="auto" w:after="200"/>
      </w:pPr>
      <w:r>
        <w:rPr>
          <w:b/>
          <w:sz w:val="19"/>
        </w:rPr>
        <w:t>Figure 1.</w:t>
      </w:r>
      <w:r>
        <w:rPr>
          <w:sz w:val="19"/>
        </w:rPr>
        <w:t xml:space="preserve"> (a) Temperature, (b) diffusivity and (c) shearing rate ω</w:t>
      </w:r>
      <w:r>
        <w:rPr>
          <w:sz w:val="19"/>
          <w:vertAlign w:val="subscript"/>
        </w:rPr>
        <w:t>E</w:t>
      </w:r>
      <w:r>
        <w:rPr>
          <w:sz w:val="19"/>
        </w:rPr>
        <w:t>/γ</w:t>
      </w:r>
      <w:r>
        <w:rPr>
          <w:sz w:val="19"/>
          <w:vertAlign w:val="subscript"/>
        </w:rPr>
        <w:t>0</w:t>
      </w:r>
      <w:r>
        <w:rPr>
          <w:sz w:val="19"/>
        </w:rPr>
        <w:t xml:space="preserve"> against r/a at 40 MW (N = 200) for the baseline and the closure with s</w:t>
      </w:r>
      <w:r>
        <w:rPr>
          <w:sz w:val="19"/>
          <w:vertAlign w:val="subscript"/>
        </w:rPr>
        <w:t>c</w:t>
      </w:r>
      <w:r>
        <w:rPr>
          <w:sz w:val="19"/>
        </w:rPr>
        <w:t xml:space="preserve"> = 0.5 and 0.1. The baseline and s</w:t>
      </w:r>
      <w:r>
        <w:rPr>
          <w:sz w:val="19"/>
          <w:vertAlign w:val="subscript"/>
        </w:rPr>
        <w:t>c</w:t>
      </w:r>
      <w:r>
        <w:rPr>
          <w:sz w:val="19"/>
        </w:rPr>
        <w:t xml:space="preserve"> = 0.5 curves nearly coincide. The shearing rate vanishes where the electric-field shear changes sign (r/a ≈ 0.64) and peaks in the last cell before the edge.</w:t>
      </w:r>
    </w:p>
    <w:p>
      <w:pPr>
        <w:pStyle w:val="Heading2"/>
      </w:pPr>
      <w:r>
        <w:rPr>
          <w:rFonts w:ascii="Times New Roman" w:hAnsi="Times New Roman"/>
        </w:rPr>
        <w:t>5.2 Dependence on heating power</w:t>
      </w:r>
    </w:p>
    <w:p>
      <w:pPr>
        <w:keepNext w:val="0"/>
        <w:jc w:val="both"/>
      </w:pPr>
      <w:r>
        <w:t>Q decreases with heating power for all models (Figure 2a), reflecting the confinement degradation with power of the stiff baseline: baseline Q falls from 9.17 at 10 MW to 2.46 at 80 MW. The closure shifts the curve by a nearly constant relative amount at moderate coupling (0.26–0.28% at s</w:t>
      </w:r>
      <w:r>
        <w:rPr>
          <w:vertAlign w:val="subscript"/>
        </w:rPr>
        <w:t>c</w:t>
      </w:r>
      <w:r>
        <w:t xml:space="preserve"> = 0.5 and 0.74–0.90% at s</w:t>
      </w:r>
      <w:r>
        <w:rPr>
          <w:vertAlign w:val="subscript"/>
        </w:rPr>
        <w:t>c</w:t>
      </w:r>
      <w:r>
        <w:t xml:space="preserve"> = 0.3 over the whole range, Figure 2b) and by an amount that grows with power at s</w:t>
      </w:r>
      <w:r>
        <w:rPr>
          <w:vertAlign w:val="subscript"/>
        </w:rPr>
        <w:t>c</w:t>
      </w:r>
      <w:r>
        <w:t xml:space="preserve"> = 0.1 (8.7% at 10 MW, 16.9% at 80 MW), because at higher power the edge gradient and hence the shearing rate are larger.</w:t>
      </w:r>
    </w:p>
    <w:p>
      <w:pPr>
        <w:keepNext/>
        <w:spacing w:before="160" w:after="40"/>
        <w:jc w:val="center"/>
      </w:pPr>
      <w:r>
        <w:drawing>
          <wp:inline xmlns:a="http://schemas.openxmlformats.org/drawingml/2006/main" xmlns:pic="http://schemas.openxmlformats.org/drawingml/2006/picture">
            <wp:extent cx="4572000" cy="1925193"/>
            <wp:docPr id="2" name="Picture 2" descr="Fusion gain against heating power on a logarithmic axis and the relative gain of the closure against heating power."/>
            <wp:cNvGraphicFramePr>
              <a:graphicFrameLocks noChangeAspect="1"/>
            </wp:cNvGraphicFramePr>
            <a:graphic>
              <a:graphicData uri="http://schemas.openxmlformats.org/drawingml/2006/picture">
                <pic:pic>
                  <pic:nvPicPr>
                    <pic:cNvPr id="0" name="fig2_power_scan.png"/>
                    <pic:cNvPicPr/>
                  </pic:nvPicPr>
                  <pic:blipFill>
                    <a:blip r:embed="rId11"/>
                    <a:stretch>
                      <a:fillRect/>
                    </a:stretch>
                  </pic:blipFill>
                  <pic:spPr>
                    <a:xfrm>
                      <a:off x="0" y="0"/>
                      <a:ext cx="4572000" cy="1925193"/>
                    </a:xfrm>
                    <a:prstGeom prst="rect"/>
                  </pic:spPr>
                </pic:pic>
              </a:graphicData>
            </a:graphic>
          </wp:inline>
        </w:drawing>
      </w:r>
    </w:p>
    <w:p>
      <w:pPr>
        <w:keepNext w:val="0"/>
        <w:spacing w:line="276" w:lineRule="auto" w:after="200"/>
      </w:pPr>
      <w:r>
        <w:rPr>
          <w:b/>
          <w:sz w:val="19"/>
        </w:rPr>
        <w:t>Figure 2.</w:t>
      </w:r>
      <w:r>
        <w:rPr>
          <w:sz w:val="19"/>
        </w:rPr>
        <w:t xml:space="preserve"> (a) Fusion gain and (b) its relative change against auxiliary power for the baseline and three closure settings (N = 100).</w:t>
      </w:r>
    </w:p>
    <w:p>
      <w:pPr>
        <w:pStyle w:val="Heading2"/>
      </w:pPr>
      <w:r>
        <w:rPr>
          <w:rFonts w:ascii="Times New Roman" w:hAnsi="Times New Roman"/>
        </w:rPr>
        <w:t>5.3 Grid convergence</w:t>
      </w:r>
    </w:p>
    <w:p>
      <w:pPr>
        <w:keepNext/>
        <w:spacing w:line="276" w:lineRule="auto" w:after="200"/>
      </w:pPr>
      <w:r>
        <w:rPr>
          <w:b/>
          <w:sz w:val="19"/>
        </w:rPr>
        <w:t>Table 5.</w:t>
      </w:r>
      <w:r>
        <w:rPr>
          <w:sz w:val="19"/>
        </w:rPr>
        <w:t xml:space="preserve"> Fusion gain Q at 40 MW against the number of cells N (steady states of the lower branch; n/c: continuation in s</w:t>
      </w:r>
      <w:r>
        <w:rPr>
          <w:sz w:val="19"/>
          <w:vertAlign w:val="subscript"/>
        </w:rPr>
        <w:t>c</w:t>
      </w:r>
      <w:r>
        <w:rPr>
          <w:sz w:val="19"/>
        </w:rPr>
        <w:t xml:space="preserve"> did not converge at that resolution). The observed order is estimated from N = 100, 200 and 400.</w:t>
      </w:r>
    </w:p>
    <w:tbl>
      <w:tblPr>
        <w:tblStyle w:val="TableGrid"/>
        <w:tblW w:type="auto" w:w="0"/>
        <w:jc w:val="center"/>
        <w:tblLayout w:type="fixed"/>
        <w:tblLook w:firstColumn="1" w:firstRow="1" w:lastColumn="0" w:lastRow="0" w:noHBand="0" w:noVBand="1" w:val="04A0"/>
      </w:tblPr>
      <w:tblGrid>
        <w:gridCol w:w="1440"/>
        <w:gridCol w:w="1152"/>
        <w:gridCol w:w="1152"/>
        <w:gridCol w:w="1152"/>
        <w:gridCol w:w="1152"/>
        <w:gridCol w:w="1152"/>
        <w:gridCol w:w="1440"/>
      </w:tblGrid>
      <w:tr>
        <w:trPr>
          <w:tblHeader w:val="true"/>
        </w:trPr>
        <w:tc>
          <w:tcPr>
            <w:tcW w:type="dxa" w:w="1440"/>
            <w:shd w:val="clear" w:color="auto" w:fill="E7ECF1"/>
          </w:tcPr>
          <w:p>
            <w:pPr>
              <w:spacing w:line="240" w:lineRule="auto" w:after="20"/>
            </w:pPr>
            <w:r/>
            <w:r>
              <w:rPr>
                <w:b/>
                <w:sz w:val="17"/>
              </w:rPr>
              <w:t>s</w:t>
            </w:r>
            <w:r>
              <w:rPr>
                <w:b/>
                <w:sz w:val="17"/>
                <w:vertAlign w:val="subscript"/>
              </w:rPr>
              <w:t>c</w:t>
            </w:r>
          </w:p>
        </w:tc>
        <w:tc>
          <w:tcPr>
            <w:tcW w:type="dxa" w:w="1152"/>
            <w:shd w:val="clear" w:color="auto" w:fill="E7ECF1"/>
          </w:tcPr>
          <w:p>
            <w:pPr>
              <w:spacing w:line="240" w:lineRule="auto" w:after="20"/>
            </w:pPr>
            <w:r/>
            <w:r>
              <w:rPr>
                <w:b/>
                <w:sz w:val="17"/>
              </w:rPr>
              <w:t>N = 50</w:t>
            </w:r>
          </w:p>
        </w:tc>
        <w:tc>
          <w:tcPr>
            <w:tcW w:type="dxa" w:w="1152"/>
            <w:shd w:val="clear" w:color="auto" w:fill="E7ECF1"/>
          </w:tcPr>
          <w:p>
            <w:pPr>
              <w:spacing w:line="240" w:lineRule="auto" w:after="20"/>
            </w:pPr>
            <w:r/>
            <w:r>
              <w:rPr>
                <w:b/>
                <w:sz w:val="17"/>
              </w:rPr>
              <w:t>N = 100</w:t>
            </w:r>
          </w:p>
        </w:tc>
        <w:tc>
          <w:tcPr>
            <w:tcW w:type="dxa" w:w="1152"/>
            <w:shd w:val="clear" w:color="auto" w:fill="E7ECF1"/>
          </w:tcPr>
          <w:p>
            <w:pPr>
              <w:spacing w:line="240" w:lineRule="auto" w:after="20"/>
            </w:pPr>
            <w:r/>
            <w:r>
              <w:rPr>
                <w:b/>
                <w:sz w:val="17"/>
              </w:rPr>
              <w:t>N = 200</w:t>
            </w:r>
          </w:p>
        </w:tc>
        <w:tc>
          <w:tcPr>
            <w:tcW w:type="dxa" w:w="1152"/>
            <w:shd w:val="clear" w:color="auto" w:fill="E7ECF1"/>
          </w:tcPr>
          <w:p>
            <w:pPr>
              <w:spacing w:line="240" w:lineRule="auto" w:after="20"/>
            </w:pPr>
            <w:r/>
            <w:r>
              <w:rPr>
                <w:b/>
                <w:sz w:val="17"/>
              </w:rPr>
              <w:t>N = 400</w:t>
            </w:r>
          </w:p>
        </w:tc>
        <w:tc>
          <w:tcPr>
            <w:tcW w:type="dxa" w:w="1152"/>
            <w:shd w:val="clear" w:color="auto" w:fill="E7ECF1"/>
          </w:tcPr>
          <w:p>
            <w:pPr>
              <w:spacing w:line="240" w:lineRule="auto" w:after="20"/>
            </w:pPr>
            <w:r/>
            <w:r>
              <w:rPr>
                <w:b/>
                <w:sz w:val="17"/>
              </w:rPr>
              <w:t>N = 800</w:t>
            </w:r>
          </w:p>
        </w:tc>
        <w:tc>
          <w:tcPr>
            <w:tcW w:type="dxa" w:w="1440"/>
            <w:shd w:val="clear" w:color="auto" w:fill="E7ECF1"/>
          </w:tcPr>
          <w:p>
            <w:pPr>
              <w:spacing w:line="240" w:lineRule="auto" w:after="20"/>
            </w:pPr>
            <w:r/>
            <w:r>
              <w:rPr>
                <w:b/>
                <w:sz w:val="17"/>
              </w:rPr>
              <w:t>observed order</w:t>
            </w:r>
          </w:p>
        </w:tc>
      </w:tr>
      <w:tr>
        <w:tc>
          <w:tcPr>
            <w:tcW w:type="dxa" w:w="1440"/>
          </w:tcPr>
          <w:p>
            <w:pPr>
              <w:spacing w:line="240" w:lineRule="auto" w:after="20"/>
            </w:pPr>
            <w:r/>
            <w:r>
              <w:rPr>
                <w:sz w:val="17"/>
              </w:rPr>
              <w:t>∞ (baseline)</w:t>
            </w:r>
          </w:p>
        </w:tc>
        <w:tc>
          <w:tcPr>
            <w:tcW w:type="dxa" w:w="1152"/>
          </w:tcPr>
          <w:p>
            <w:pPr>
              <w:spacing w:line="240" w:lineRule="auto" w:after="20"/>
            </w:pPr>
            <w:r/>
            <w:r>
              <w:rPr>
                <w:sz w:val="17"/>
              </w:rPr>
              <w:t>3.7058</w:t>
            </w:r>
          </w:p>
        </w:tc>
        <w:tc>
          <w:tcPr>
            <w:tcW w:type="dxa" w:w="1152"/>
          </w:tcPr>
          <w:p>
            <w:pPr>
              <w:spacing w:line="240" w:lineRule="auto" w:after="20"/>
            </w:pPr>
            <w:r/>
            <w:r>
              <w:rPr>
                <w:sz w:val="17"/>
              </w:rPr>
              <w:t>3.7030</w:t>
            </w:r>
          </w:p>
        </w:tc>
        <w:tc>
          <w:tcPr>
            <w:tcW w:type="dxa" w:w="1152"/>
          </w:tcPr>
          <w:p>
            <w:pPr>
              <w:spacing w:line="240" w:lineRule="auto" w:after="20"/>
            </w:pPr>
            <w:r/>
            <w:r>
              <w:rPr>
                <w:sz w:val="17"/>
              </w:rPr>
              <w:t>3.7023</w:t>
            </w:r>
          </w:p>
        </w:tc>
        <w:tc>
          <w:tcPr>
            <w:tcW w:type="dxa" w:w="1152"/>
          </w:tcPr>
          <w:p>
            <w:pPr>
              <w:spacing w:line="240" w:lineRule="auto" w:after="20"/>
            </w:pPr>
            <w:r/>
            <w:r>
              <w:rPr>
                <w:sz w:val="17"/>
              </w:rPr>
              <w:t>3.7021</w:t>
            </w:r>
          </w:p>
        </w:tc>
        <w:tc>
          <w:tcPr>
            <w:tcW w:type="dxa" w:w="1152"/>
          </w:tcPr>
          <w:p>
            <w:pPr>
              <w:spacing w:line="240" w:lineRule="auto" w:after="20"/>
            </w:pPr>
            <w:r/>
            <w:r>
              <w:rPr>
                <w:sz w:val="17"/>
              </w:rPr>
              <w:t>3.7021</w:t>
            </w:r>
          </w:p>
        </w:tc>
        <w:tc>
          <w:tcPr>
            <w:tcW w:type="dxa" w:w="1440"/>
          </w:tcPr>
          <w:p>
            <w:pPr>
              <w:spacing w:line="240" w:lineRule="auto" w:after="20"/>
            </w:pPr>
            <w:r/>
            <w:r>
              <w:rPr>
                <w:sz w:val="17"/>
              </w:rPr>
              <w:t>2.00</w:t>
            </w:r>
          </w:p>
        </w:tc>
      </w:tr>
      <w:tr>
        <w:tc>
          <w:tcPr>
            <w:tcW w:type="dxa" w:w="1440"/>
          </w:tcPr>
          <w:p>
            <w:pPr>
              <w:spacing w:line="240" w:lineRule="auto" w:after="20"/>
            </w:pPr>
            <w:r/>
            <w:r>
              <w:rPr>
                <w:sz w:val="17"/>
              </w:rPr>
              <w:t>1</w:t>
            </w:r>
          </w:p>
        </w:tc>
        <w:tc>
          <w:tcPr>
            <w:tcW w:type="dxa" w:w="1152"/>
          </w:tcPr>
          <w:p>
            <w:pPr>
              <w:spacing w:line="240" w:lineRule="auto" w:after="20"/>
            </w:pPr>
            <w:r/>
            <w:r>
              <w:rPr>
                <w:sz w:val="17"/>
              </w:rPr>
              <w:t>3.7085</w:t>
            </w:r>
          </w:p>
        </w:tc>
        <w:tc>
          <w:tcPr>
            <w:tcW w:type="dxa" w:w="1152"/>
          </w:tcPr>
          <w:p>
            <w:pPr>
              <w:spacing w:line="240" w:lineRule="auto" w:after="20"/>
            </w:pPr>
            <w:r/>
            <w:r>
              <w:rPr>
                <w:sz w:val="17"/>
              </w:rPr>
              <w:t>3.7054</w:t>
            </w:r>
          </w:p>
        </w:tc>
        <w:tc>
          <w:tcPr>
            <w:tcW w:type="dxa" w:w="1152"/>
          </w:tcPr>
          <w:p>
            <w:pPr>
              <w:spacing w:line="240" w:lineRule="auto" w:after="20"/>
            </w:pPr>
            <w:r/>
            <w:r>
              <w:rPr>
                <w:sz w:val="17"/>
              </w:rPr>
              <w:t>3.7046</w:t>
            </w:r>
          </w:p>
        </w:tc>
        <w:tc>
          <w:tcPr>
            <w:tcW w:type="dxa" w:w="1152"/>
          </w:tcPr>
          <w:p>
            <w:pPr>
              <w:spacing w:line="240" w:lineRule="auto" w:after="20"/>
            </w:pPr>
            <w:r/>
            <w:r>
              <w:rPr>
                <w:sz w:val="17"/>
              </w:rPr>
              <w:t>3.7043</w:t>
            </w:r>
          </w:p>
        </w:tc>
        <w:tc>
          <w:tcPr>
            <w:tcW w:type="dxa" w:w="1152"/>
          </w:tcPr>
          <w:p>
            <w:pPr>
              <w:spacing w:line="240" w:lineRule="auto" w:after="20"/>
            </w:pPr>
            <w:r/>
            <w:r>
              <w:rPr>
                <w:sz w:val="17"/>
              </w:rPr>
              <w:t>3.7042</w:t>
            </w:r>
          </w:p>
        </w:tc>
        <w:tc>
          <w:tcPr>
            <w:tcW w:type="dxa" w:w="1440"/>
          </w:tcPr>
          <w:p>
            <w:pPr>
              <w:spacing w:line="240" w:lineRule="auto" w:after="20"/>
            </w:pPr>
            <w:r/>
            <w:r>
              <w:rPr>
                <w:sz w:val="17"/>
              </w:rPr>
              <w:t>1.75</w:t>
            </w:r>
          </w:p>
        </w:tc>
      </w:tr>
      <w:tr>
        <w:tc>
          <w:tcPr>
            <w:tcW w:type="dxa" w:w="1440"/>
          </w:tcPr>
          <w:p>
            <w:pPr>
              <w:spacing w:line="240" w:lineRule="auto" w:after="20"/>
            </w:pPr>
            <w:r/>
            <w:r>
              <w:rPr>
                <w:sz w:val="17"/>
              </w:rPr>
              <w:t>0.5</w:t>
            </w:r>
          </w:p>
        </w:tc>
        <w:tc>
          <w:tcPr>
            <w:tcW w:type="dxa" w:w="1152"/>
          </w:tcPr>
          <w:p>
            <w:pPr>
              <w:spacing w:line="240" w:lineRule="auto" w:after="20"/>
            </w:pPr>
            <w:r/>
            <w:r>
              <w:rPr>
                <w:sz w:val="17"/>
              </w:rPr>
              <w:t>3.7169</w:t>
            </w:r>
          </w:p>
        </w:tc>
        <w:tc>
          <w:tcPr>
            <w:tcW w:type="dxa" w:w="1152"/>
          </w:tcPr>
          <w:p>
            <w:pPr>
              <w:spacing w:line="240" w:lineRule="auto" w:after="20"/>
            </w:pPr>
            <w:r/>
            <w:r>
              <w:rPr>
                <w:sz w:val="17"/>
              </w:rPr>
              <w:t>3.7130</w:t>
            </w:r>
          </w:p>
        </w:tc>
        <w:tc>
          <w:tcPr>
            <w:tcW w:type="dxa" w:w="1152"/>
          </w:tcPr>
          <w:p>
            <w:pPr>
              <w:spacing w:line="240" w:lineRule="auto" w:after="20"/>
            </w:pPr>
            <w:r/>
            <w:r>
              <w:rPr>
                <w:sz w:val="17"/>
              </w:rPr>
              <w:t>3.7117</w:t>
            </w:r>
          </w:p>
        </w:tc>
        <w:tc>
          <w:tcPr>
            <w:tcW w:type="dxa" w:w="1152"/>
          </w:tcPr>
          <w:p>
            <w:pPr>
              <w:spacing w:line="240" w:lineRule="auto" w:after="20"/>
            </w:pPr>
            <w:r/>
            <w:r>
              <w:rPr>
                <w:sz w:val="17"/>
              </w:rPr>
              <w:t>3.7113</w:t>
            </w:r>
          </w:p>
        </w:tc>
        <w:tc>
          <w:tcPr>
            <w:tcW w:type="dxa" w:w="1152"/>
          </w:tcPr>
          <w:p>
            <w:pPr>
              <w:spacing w:line="240" w:lineRule="auto" w:after="20"/>
            </w:pPr>
            <w:r/>
            <w:r>
              <w:rPr>
                <w:sz w:val="17"/>
              </w:rPr>
              <w:t>3.7111</w:t>
            </w:r>
          </w:p>
        </w:tc>
        <w:tc>
          <w:tcPr>
            <w:tcW w:type="dxa" w:w="1440"/>
          </w:tcPr>
          <w:p>
            <w:pPr>
              <w:spacing w:line="240" w:lineRule="auto" w:after="20"/>
            </w:pPr>
            <w:r/>
            <w:r>
              <w:rPr>
                <w:sz w:val="17"/>
              </w:rPr>
              <w:t>1.57</w:t>
            </w:r>
          </w:p>
        </w:tc>
      </w:tr>
      <w:tr>
        <w:tc>
          <w:tcPr>
            <w:tcW w:type="dxa" w:w="1440"/>
          </w:tcPr>
          <w:p>
            <w:pPr>
              <w:spacing w:line="240" w:lineRule="auto" w:after="20"/>
            </w:pPr>
            <w:r/>
            <w:r>
              <w:rPr>
                <w:sz w:val="17"/>
              </w:rPr>
              <w:t>0.3</w:t>
            </w:r>
          </w:p>
        </w:tc>
        <w:tc>
          <w:tcPr>
            <w:tcW w:type="dxa" w:w="1152"/>
          </w:tcPr>
          <w:p>
            <w:pPr>
              <w:spacing w:line="240" w:lineRule="auto" w:after="20"/>
            </w:pPr>
            <w:r/>
            <w:r>
              <w:rPr>
                <w:sz w:val="17"/>
              </w:rPr>
              <w:t>3.7384</w:t>
            </w:r>
          </w:p>
        </w:tc>
        <w:tc>
          <w:tcPr>
            <w:tcW w:type="dxa" w:w="1152"/>
          </w:tcPr>
          <w:p>
            <w:pPr>
              <w:spacing w:line="240" w:lineRule="auto" w:after="20"/>
            </w:pPr>
            <w:r/>
            <w:r>
              <w:rPr>
                <w:sz w:val="17"/>
              </w:rPr>
              <w:t>3.7329</w:t>
            </w:r>
          </w:p>
        </w:tc>
        <w:tc>
          <w:tcPr>
            <w:tcW w:type="dxa" w:w="1152"/>
          </w:tcPr>
          <w:p>
            <w:pPr>
              <w:spacing w:line="240" w:lineRule="auto" w:after="20"/>
            </w:pPr>
            <w:r/>
            <w:r>
              <w:rPr>
                <w:sz w:val="17"/>
              </w:rPr>
              <w:t>3.7311</w:t>
            </w:r>
          </w:p>
        </w:tc>
        <w:tc>
          <w:tcPr>
            <w:tcW w:type="dxa" w:w="1152"/>
          </w:tcPr>
          <w:p>
            <w:pPr>
              <w:spacing w:line="240" w:lineRule="auto" w:after="20"/>
            </w:pPr>
            <w:r/>
            <w:r>
              <w:rPr>
                <w:sz w:val="17"/>
              </w:rPr>
              <w:t>3.7302</w:t>
            </w:r>
          </w:p>
        </w:tc>
        <w:tc>
          <w:tcPr>
            <w:tcW w:type="dxa" w:w="1152"/>
          </w:tcPr>
          <w:p>
            <w:pPr>
              <w:spacing w:line="240" w:lineRule="auto" w:after="20"/>
            </w:pPr>
            <w:r/>
            <w:r>
              <w:rPr>
                <w:sz w:val="17"/>
              </w:rPr>
              <w:t>3.7298</w:t>
            </w:r>
          </w:p>
        </w:tc>
        <w:tc>
          <w:tcPr>
            <w:tcW w:type="dxa" w:w="1440"/>
          </w:tcPr>
          <w:p>
            <w:pPr>
              <w:spacing w:line="240" w:lineRule="auto" w:after="20"/>
            </w:pPr>
            <w:r/>
            <w:r>
              <w:rPr>
                <w:sz w:val="17"/>
              </w:rPr>
              <w:t>1.14</w:t>
            </w:r>
          </w:p>
        </w:tc>
      </w:tr>
      <w:tr>
        <w:tc>
          <w:tcPr>
            <w:tcW w:type="dxa" w:w="1440"/>
          </w:tcPr>
          <w:p>
            <w:pPr>
              <w:spacing w:line="240" w:lineRule="auto" w:after="20"/>
            </w:pPr>
            <w:r/>
            <w:r>
              <w:rPr>
                <w:sz w:val="17"/>
              </w:rPr>
              <w:t>0.2</w:t>
            </w:r>
          </w:p>
        </w:tc>
        <w:tc>
          <w:tcPr>
            <w:tcW w:type="dxa" w:w="1152"/>
          </w:tcPr>
          <w:p>
            <w:pPr>
              <w:spacing w:line="240" w:lineRule="auto" w:after="20"/>
            </w:pPr>
            <w:r/>
            <w:r>
              <w:rPr>
                <w:sz w:val="17"/>
              </w:rPr>
              <w:t>3.7879</w:t>
            </w:r>
          </w:p>
        </w:tc>
        <w:tc>
          <w:tcPr>
            <w:tcW w:type="dxa" w:w="1152"/>
          </w:tcPr>
          <w:p>
            <w:pPr>
              <w:spacing w:line="240" w:lineRule="auto" w:after="20"/>
            </w:pPr>
            <w:r/>
            <w:r>
              <w:rPr>
                <w:sz w:val="17"/>
              </w:rPr>
              <w:t>3.7807</w:t>
            </w:r>
          </w:p>
        </w:tc>
        <w:tc>
          <w:tcPr>
            <w:tcW w:type="dxa" w:w="1152"/>
          </w:tcPr>
          <w:p>
            <w:pPr>
              <w:spacing w:line="240" w:lineRule="auto" w:after="20"/>
            </w:pPr>
            <w:r/>
            <w:r>
              <w:rPr>
                <w:sz w:val="17"/>
              </w:rPr>
              <w:t>3.7769</w:t>
            </w:r>
          </w:p>
        </w:tc>
        <w:tc>
          <w:tcPr>
            <w:tcW w:type="dxa" w:w="1152"/>
          </w:tcPr>
          <w:p>
            <w:pPr>
              <w:spacing w:line="240" w:lineRule="auto" w:after="20"/>
            </w:pPr>
            <w:r/>
            <w:r>
              <w:rPr>
                <w:sz w:val="17"/>
              </w:rPr>
              <w:t>3.7751</w:t>
            </w:r>
          </w:p>
        </w:tc>
        <w:tc>
          <w:tcPr>
            <w:tcW w:type="dxa" w:w="1152"/>
          </w:tcPr>
          <w:p>
            <w:pPr>
              <w:spacing w:line="240" w:lineRule="auto" w:after="20"/>
            </w:pPr>
            <w:r/>
            <w:r>
              <w:rPr>
                <w:sz w:val="17"/>
              </w:rPr>
              <w:t>3.7742</w:t>
            </w:r>
          </w:p>
        </w:tc>
        <w:tc>
          <w:tcPr>
            <w:tcW w:type="dxa" w:w="1440"/>
          </w:tcPr>
          <w:p>
            <w:pPr>
              <w:spacing w:line="240" w:lineRule="auto" w:after="20"/>
            </w:pPr>
            <w:r/>
            <w:r>
              <w:rPr>
                <w:sz w:val="17"/>
              </w:rPr>
              <w:t>1.01</w:t>
            </w:r>
          </w:p>
        </w:tc>
      </w:tr>
      <w:tr>
        <w:tc>
          <w:tcPr>
            <w:tcW w:type="dxa" w:w="1440"/>
          </w:tcPr>
          <w:p>
            <w:pPr>
              <w:spacing w:line="240" w:lineRule="auto" w:after="20"/>
            </w:pPr>
            <w:r/>
            <w:r>
              <w:rPr>
                <w:sz w:val="17"/>
              </w:rPr>
              <w:t>0.1</w:t>
            </w:r>
          </w:p>
        </w:tc>
        <w:tc>
          <w:tcPr>
            <w:tcW w:type="dxa" w:w="1152"/>
          </w:tcPr>
          <w:p>
            <w:pPr>
              <w:spacing w:line="240" w:lineRule="auto" w:after="20"/>
            </w:pPr>
            <w:r/>
            <w:r>
              <w:rPr>
                <w:sz w:val="17"/>
              </w:rPr>
              <w:t>4.1997</w:t>
            </w:r>
          </w:p>
        </w:tc>
        <w:tc>
          <w:tcPr>
            <w:tcW w:type="dxa" w:w="1152"/>
          </w:tcPr>
          <w:p>
            <w:pPr>
              <w:spacing w:line="240" w:lineRule="auto" w:after="20"/>
            </w:pPr>
            <w:r/>
            <w:r>
              <w:rPr>
                <w:sz w:val="17"/>
              </w:rPr>
              <w:t>4.1608</w:t>
            </w:r>
          </w:p>
        </w:tc>
        <w:tc>
          <w:tcPr>
            <w:tcW w:type="dxa" w:w="1152"/>
          </w:tcPr>
          <w:p>
            <w:pPr>
              <w:spacing w:line="240" w:lineRule="auto" w:after="20"/>
            </w:pPr>
            <w:r/>
            <w:r>
              <w:rPr>
                <w:sz w:val="17"/>
              </w:rPr>
              <w:t>4.1424</w:t>
            </w:r>
          </w:p>
        </w:tc>
        <w:tc>
          <w:tcPr>
            <w:tcW w:type="dxa" w:w="1152"/>
          </w:tcPr>
          <w:p>
            <w:pPr>
              <w:spacing w:line="240" w:lineRule="auto" w:after="20"/>
            </w:pPr>
            <w:r/>
            <w:r>
              <w:rPr>
                <w:sz w:val="17"/>
              </w:rPr>
              <w:t>4.1335</w:t>
            </w:r>
          </w:p>
        </w:tc>
        <w:tc>
          <w:tcPr>
            <w:tcW w:type="dxa" w:w="1152"/>
          </w:tcPr>
          <w:p>
            <w:pPr>
              <w:spacing w:line="240" w:lineRule="auto" w:after="20"/>
            </w:pPr>
            <w:r/>
            <w:r>
              <w:rPr>
                <w:sz w:val="17"/>
              </w:rPr>
              <w:t>4.1292</w:t>
            </w:r>
          </w:p>
        </w:tc>
        <w:tc>
          <w:tcPr>
            <w:tcW w:type="dxa" w:w="1440"/>
          </w:tcPr>
          <w:p>
            <w:pPr>
              <w:spacing w:line="240" w:lineRule="auto" w:after="20"/>
            </w:pPr>
            <w:r/>
            <w:r>
              <w:rPr>
                <w:sz w:val="17"/>
              </w:rPr>
              <w:t>1.05</w:t>
            </w:r>
          </w:p>
        </w:tc>
      </w:tr>
      <w:tr>
        <w:tc>
          <w:tcPr>
            <w:tcW w:type="dxa" w:w="1440"/>
          </w:tcPr>
          <w:p>
            <w:pPr>
              <w:spacing w:line="240" w:lineRule="auto" w:after="20"/>
            </w:pPr>
            <w:r/>
            <w:r>
              <w:rPr>
                <w:sz w:val="17"/>
              </w:rPr>
              <w:t>0.07</w:t>
            </w:r>
          </w:p>
        </w:tc>
        <w:tc>
          <w:tcPr>
            <w:tcW w:type="dxa" w:w="1152"/>
          </w:tcPr>
          <w:p>
            <w:pPr>
              <w:spacing w:line="240" w:lineRule="auto" w:after="20"/>
            </w:pPr>
            <w:r/>
            <w:r>
              <w:rPr>
                <w:sz w:val="17"/>
              </w:rPr>
              <w:t>5.1344</w:t>
            </w:r>
          </w:p>
        </w:tc>
        <w:tc>
          <w:tcPr>
            <w:tcW w:type="dxa" w:w="1152"/>
          </w:tcPr>
          <w:p>
            <w:pPr>
              <w:spacing w:line="240" w:lineRule="auto" w:after="20"/>
            </w:pPr>
            <w:r/>
            <w:r>
              <w:rPr>
                <w:sz w:val="17"/>
              </w:rPr>
              <w:t>4.9978</w:t>
            </w:r>
          </w:p>
        </w:tc>
        <w:tc>
          <w:tcPr>
            <w:tcW w:type="dxa" w:w="1152"/>
          </w:tcPr>
          <w:p>
            <w:pPr>
              <w:spacing w:line="240" w:lineRule="auto" w:after="20"/>
            </w:pPr>
            <w:r/>
            <w:r>
              <w:rPr>
                <w:sz w:val="17"/>
              </w:rPr>
              <w:t>4.9369</w:t>
            </w:r>
          </w:p>
        </w:tc>
        <w:tc>
          <w:tcPr>
            <w:tcW w:type="dxa" w:w="1152"/>
          </w:tcPr>
          <w:p>
            <w:pPr>
              <w:spacing w:line="240" w:lineRule="auto" w:after="20"/>
            </w:pPr>
            <w:r/>
            <w:r>
              <w:rPr>
                <w:sz w:val="17"/>
              </w:rPr>
              <w:t>4.9080</w:t>
            </w:r>
          </w:p>
        </w:tc>
        <w:tc>
          <w:tcPr>
            <w:tcW w:type="dxa" w:w="1152"/>
          </w:tcPr>
          <w:p>
            <w:pPr>
              <w:spacing w:line="240" w:lineRule="auto" w:after="20"/>
            </w:pPr>
            <w:r/>
            <w:r>
              <w:rPr>
                <w:sz w:val="17"/>
              </w:rPr>
              <w:t>n/c</w:t>
            </w:r>
          </w:p>
        </w:tc>
        <w:tc>
          <w:tcPr>
            <w:tcW w:type="dxa" w:w="1440"/>
          </w:tcPr>
          <w:p>
            <w:pPr>
              <w:spacing w:line="240" w:lineRule="auto" w:after="20"/>
            </w:pPr>
            <w:r/>
            <w:r>
              <w:rPr>
                <w:sz w:val="17"/>
              </w:rPr>
              <w:t>1.08</w:t>
            </w:r>
          </w:p>
        </w:tc>
      </w:tr>
    </w:tbl>
    <w:p>
      <w:pPr>
        <w:spacing w:after="40"/>
      </w:pPr>
    </w:p>
    <w:p>
      <w:pPr>
        <w:keepNext w:val="0"/>
        <w:jc w:val="both"/>
      </w:pPr>
      <w:r>
        <w:t>Q converges at every s</w:t>
      </w:r>
      <w:r>
        <w:rPr>
          <w:vertAlign w:val="subscript"/>
        </w:rPr>
        <w:t>c</w:t>
      </w:r>
      <w:r>
        <w:t xml:space="preserve"> tested (Table 5, Figure 3a). The observed order is 2.0 for the baseline, as expected for a second-order scheme, and decreases to about 1.1 as s</w:t>
      </w:r>
      <w:r>
        <w:rPr>
          <w:vertAlign w:val="subscript"/>
        </w:rPr>
        <w:t>c</w:t>
      </w:r>
      <w:r>
        <w:t xml:space="preserve"> decreases, because the edge cell, where the shearing rate is largest, is treated with a half-cell difference to the fixed edge value. At s</w:t>
      </w:r>
      <w:r>
        <w:rPr>
          <w:vertAlign w:val="subscript"/>
        </w:rPr>
        <w:t>c</w:t>
      </w:r>
      <w:r>
        <w:t xml:space="preserve"> = 0.5 the change of Q between N = 50 and N = 800 is 0.16% and between N = 200 and N = 800 it is 0.016%; at s</w:t>
      </w:r>
      <w:r>
        <w:rPr>
          <w:vertAlign w:val="subscript"/>
        </w:rPr>
        <w:t>c</w:t>
      </w:r>
      <w:r>
        <w:t xml:space="preserve"> = 0.1 the corresponding changes are 1.7% and 0.3%. The leading eigenvalue of the steady state does not depend on N (Table 3).</w:t>
      </w:r>
    </w:p>
    <w:p>
      <w:pPr>
        <w:keepNext/>
        <w:spacing w:before="160" w:after="40"/>
        <w:jc w:val="center"/>
      </w:pPr>
      <w:r>
        <w:drawing>
          <wp:inline xmlns:a="http://schemas.openxmlformats.org/drawingml/2006/main" xmlns:pic="http://schemas.openxmlformats.org/drawingml/2006/picture">
            <wp:extent cx="4754880" cy="2026211"/>
            <wp:docPr id="3" name="Picture 3" descr="Log-log convergence of the fusion gain with the number of cells and the fold position against inverse resolution."/>
            <wp:cNvGraphicFramePr>
              <a:graphicFrameLocks noChangeAspect="1"/>
            </wp:cNvGraphicFramePr>
            <a:graphic>
              <a:graphicData uri="http://schemas.openxmlformats.org/drawingml/2006/picture">
                <pic:pic>
                  <pic:nvPicPr>
                    <pic:cNvPr id="0" name="fig3_convergence.png"/>
                    <pic:cNvPicPr/>
                  </pic:nvPicPr>
                  <pic:blipFill>
                    <a:blip r:embed="rId12"/>
                    <a:stretch>
                      <a:fillRect/>
                    </a:stretch>
                  </pic:blipFill>
                  <pic:spPr>
                    <a:xfrm>
                      <a:off x="0" y="0"/>
                      <a:ext cx="4754880" cy="2026211"/>
                    </a:xfrm>
                    <a:prstGeom prst="rect"/>
                  </pic:spPr>
                </pic:pic>
              </a:graphicData>
            </a:graphic>
          </wp:inline>
        </w:drawing>
      </w:r>
    </w:p>
    <w:p>
      <w:pPr>
        <w:keepNext w:val="0"/>
        <w:spacing w:line="276" w:lineRule="auto" w:after="200"/>
      </w:pPr>
      <w:r>
        <w:rPr>
          <w:b/>
          <w:sz w:val="19"/>
        </w:rPr>
        <w:t>Figure 3.</w:t>
      </w:r>
      <w:r>
        <w:rPr>
          <w:sz w:val="19"/>
        </w:rPr>
        <w:t xml:space="preserve"> (a) Relative difference of Q from the N = 800 value against N for four values of s</w:t>
      </w:r>
      <w:r>
        <w:rPr>
          <w:sz w:val="19"/>
          <w:vertAlign w:val="subscript"/>
        </w:rPr>
        <w:t>c</w:t>
      </w:r>
      <w:r>
        <w:rPr>
          <w:sz w:val="19"/>
        </w:rPr>
        <w:t xml:space="preserve"> (dotted: N</w:t>
      </w:r>
      <w:r>
        <w:rPr>
          <w:sz w:val="19"/>
          <w:vertAlign w:val="superscript"/>
        </w:rPr>
        <w:t>−1</w:t>
      </w:r>
      <w:r>
        <w:rPr>
          <w:sz w:val="19"/>
        </w:rPr>
        <w:t>; dashed: N</w:t>
      </w:r>
      <w:r>
        <w:rPr>
          <w:sz w:val="19"/>
          <w:vertAlign w:val="superscript"/>
        </w:rPr>
        <w:t>−2</w:t>
      </w:r>
      <w:r>
        <w:rPr>
          <w:sz w:val="19"/>
        </w:rPr>
        <w:t>). (b) Position of the fold s</w:t>
      </w:r>
      <w:r>
        <w:rPr>
          <w:sz w:val="19"/>
          <w:vertAlign w:val="subscript"/>
        </w:rPr>
        <w:t>c</w:t>
      </w:r>
      <w:r>
        <w:rPr>
          <w:sz w:val="19"/>
          <w:vertAlign w:val="superscript"/>
        </w:rPr>
        <w:t>*</w:t>
      </w:r>
      <w:r>
        <w:rPr>
          <w:sz w:val="19"/>
        </w:rPr>
        <w:t xml:space="preserve"> against 1/N and the Richardson limit.</w:t>
      </w:r>
    </w:p>
    <w:p>
      <w:pPr>
        <w:pStyle w:val="Heading2"/>
      </w:pPr>
      <w:r>
        <w:rPr>
          <w:rFonts w:ascii="Times New Roman" w:hAnsi="Times New Roman"/>
        </w:rPr>
        <w:t>5.4 Strong coupling: a fold of the steady state</w:t>
      </w:r>
    </w:p>
    <w:p>
      <w:pPr>
        <w:keepNext w:val="0"/>
        <w:jc w:val="both"/>
      </w:pPr>
      <w:r>
        <w:t>As s</w:t>
      </w:r>
      <w:r>
        <w:rPr>
          <w:vertAlign w:val="subscript"/>
        </w:rPr>
        <w:t>c</w:t>
      </w:r>
      <w:r>
        <w:t xml:space="preserve"> decreases the gain rises ever more steeply (Table 4): Q = 4.16 at s</w:t>
      </w:r>
      <w:r>
        <w:rPr>
          <w:vertAlign w:val="subscript"/>
        </w:rPr>
        <w:t>c</w:t>
      </w:r>
      <w:r>
        <w:t xml:space="preserve"> = 0.1 (12% above the baseline) and 5.00 at 0.07 (35% above). The lower branch does not continue indefinitely. Pseudo-arclength continuation in 1/s</w:t>
      </w:r>
      <w:r>
        <w:rPr>
          <w:vertAlign w:val="subscript"/>
        </w:rPr>
        <w:t>c</w:t>
      </w:r>
      <w:r>
        <w:t xml:space="preserve"> (Figure 4) shows that it ends in a saddle-node fold: the leading eigenvalue of the steady state rises smoothly to zero at the fold and the branch turns back to larger s</w:t>
      </w:r>
      <w:r>
        <w:rPr>
          <w:vertAlign w:val="subscript"/>
        </w:rPr>
        <w:t>c</w:t>
      </w:r>
      <w:r>
        <w:t>. The fold is at s</w:t>
      </w:r>
      <w:r>
        <w:rPr>
          <w:vertAlign w:val="subscript"/>
        </w:rPr>
        <w:t>c</w:t>
      </w:r>
      <w:r>
        <w:rPr>
          <w:vertAlign w:val="superscript"/>
        </w:rPr>
        <w:t>*</w:t>
      </w:r>
      <w:r>
        <w:t xml:space="preserve"> = 0.0507, 0.0489, 0.0478 and 0.0473 for N = 50, 100, 200 and 400, which converges with observed order 1.0 to the Richardson limit 0.0468 (Figure 3b). At the fold Q ≈ 14.7 and T</w:t>
      </w:r>
      <w:r>
        <w:rPr>
          <w:vertAlign w:val="subscript"/>
        </w:rPr>
        <w:t>0</w:t>
      </w:r>
      <w:r>
        <w:t xml:space="preserve"> ≈ 32 keV, so the end of the lower branch is still a burning plasma with a temperature inside the validity range of the reactivity fit (0.2–100 keV).</w:t>
      </w:r>
    </w:p>
    <w:p>
      <w:pPr>
        <w:keepNext w:val="0"/>
        <w:jc w:val="both"/>
      </w:pPr>
      <w:r>
        <w:t>Beyond the fold the branch turns back and continues through a window 0.0478 &lt; s</w:t>
      </w:r>
      <w:r>
        <w:rPr>
          <w:vertAlign w:val="subscript"/>
        </w:rPr>
        <w:t>c</w:t>
      </w:r>
      <w:r>
        <w:t xml:space="preserve"> &lt; 0.0502 (N = 200) in which three steady states exist: the stable lower state, an unstable middle state, and a state with much larger Q (about 30) and T</w:t>
      </w:r>
      <w:r>
        <w:rPr>
          <w:vertAlign w:val="subscript"/>
        </w:rPr>
        <w:t>0</w:t>
      </w:r>
      <w:r>
        <w:t xml:space="preserve"> of 70 keV and above that is stable to small perturbations. Its temperature reaches and, for smaller s</w:t>
      </w:r>
      <w:r>
        <w:rPr>
          <w:vertAlign w:val="subscript"/>
        </w:rPr>
        <w:t>c</w:t>
      </w:r>
      <w:r>
        <w:t>, exceeds 100 keV, outside the validity of the reactivity fit and of a model without alpha-particle losses, MHD or density response, and its basin of attraction was not explored; we do not interpret that state. Time integration confirms the picture. At s</w:t>
      </w:r>
      <w:r>
        <w:rPr>
          <w:vertAlign w:val="subscript"/>
        </w:rPr>
        <w:t>c</w:t>
      </w:r>
      <w:r>
        <w:t xml:space="preserve"> = 0.05, just above the fold, a cold start settles on the lower branch (Q = 9.94, T</w:t>
      </w:r>
      <w:r>
        <w:rPr>
          <w:vertAlign w:val="subscript"/>
        </w:rPr>
        <w:t>0</w:t>
      </w:r>
      <w:r>
        <w:t xml:space="preserve"> = 25.0 keV). At s</w:t>
      </w:r>
      <w:r>
        <w:rPr>
          <w:vertAlign w:val="subscript"/>
        </w:rPr>
        <w:t>c</w:t>
      </w:r>
      <w:r>
        <w:t xml:space="preserve"> = 0.044, below the fold, the axis temperature passes 150 keV after 28 s without settling. A start at T</w:t>
      </w:r>
      <w:r>
        <w:rPr>
          <w:vertAlign w:val="subscript"/>
        </w:rPr>
        <w:t>0</w:t>
      </w:r>
      <w:r>
        <w:t xml:space="preserve"> = 70 keV inside the window heats beyond 150 keV within 2.5 s.</w:t>
      </w:r>
    </w:p>
    <w:p>
      <w:pPr>
        <w:keepNext w:val="0"/>
        <w:jc w:val="both"/>
      </w:pPr>
      <w:r>
        <w:t>The result is a sensitivity statement rather than a prediction. The gain is a steep function of s</w:t>
      </w:r>
      <w:r>
        <w:rPr>
          <w:vertAlign w:val="subscript"/>
        </w:rPr>
        <w:t>c</w:t>
      </w:r>
      <w:r>
        <w:t xml:space="preserve"> near s</w:t>
      </w:r>
      <w:r>
        <w:rPr>
          <w:vertAlign w:val="subscript"/>
        </w:rPr>
        <w:t>c</w:t>
      </w:r>
      <w:r>
        <w:rPr>
          <w:vertAlign w:val="superscript"/>
        </w:rPr>
        <w:t>*</w:t>
      </w:r>
      <w:r>
        <w:t>: within a factor of two in s</w:t>
      </w:r>
      <w:r>
        <w:rPr>
          <w:vertAlign w:val="subscript"/>
        </w:rPr>
        <w:t>c</w:t>
      </w:r>
      <w:r>
        <w:t xml:space="preserve"> (from 0.1 to 0.05) Q increases from 4.16 to about 10, so the value of s</w:t>
      </w:r>
      <w:r>
        <w:rPr>
          <w:vertAlign w:val="subscript"/>
        </w:rPr>
        <w:t>c</w:t>
      </w:r>
      <w:r>
        <w:t>, which would have to be calibrated against gyrokinetic or experimental data, determines whether the closure matters at all.</w:t>
      </w:r>
    </w:p>
    <w:p>
      <w:pPr>
        <w:keepNext/>
        <w:spacing w:before="160" w:after="40"/>
        <w:jc w:val="center"/>
      </w:pPr>
      <w:r>
        <w:drawing>
          <wp:inline xmlns:a="http://schemas.openxmlformats.org/drawingml/2006/main" xmlns:pic="http://schemas.openxmlformats.org/drawingml/2006/picture">
            <wp:extent cx="5669280" cy="1868256"/>
            <wp:docPr id="4" name="Picture 4" descr="Three panels: lower branch of the gain against the threshold, and the gain and axis temperature through the fold showing an S-shaped curve."/>
            <wp:cNvGraphicFramePr>
              <a:graphicFrameLocks noChangeAspect="1"/>
            </wp:cNvGraphicFramePr>
            <a:graphic>
              <a:graphicData uri="http://schemas.openxmlformats.org/drawingml/2006/picture">
                <pic:pic>
                  <pic:nvPicPr>
                    <pic:cNvPr id="0" name="fig4_branch.png"/>
                    <pic:cNvPicPr/>
                  </pic:nvPicPr>
                  <pic:blipFill>
                    <a:blip r:embed="rId13"/>
                    <a:stretch>
                      <a:fillRect/>
                    </a:stretch>
                  </pic:blipFill>
                  <pic:spPr>
                    <a:xfrm>
                      <a:off x="0" y="0"/>
                      <a:ext cx="5669280" cy="1868256"/>
                    </a:xfrm>
                    <a:prstGeom prst="rect"/>
                  </pic:spPr>
                </pic:pic>
              </a:graphicData>
            </a:graphic>
          </wp:inline>
        </w:drawing>
      </w:r>
    </w:p>
    <w:p>
      <w:pPr>
        <w:keepNext w:val="0"/>
        <w:spacing w:line="276" w:lineRule="auto" w:after="200"/>
      </w:pPr>
      <w:r>
        <w:rPr>
          <w:b/>
          <w:sz w:val="19"/>
        </w:rPr>
        <w:t>Figure 4.</w:t>
      </w:r>
      <w:r>
        <w:rPr>
          <w:sz w:val="19"/>
        </w:rPr>
        <w:t xml:space="preserve"> Steady states of the heat equation against s</w:t>
      </w:r>
      <w:r>
        <w:rPr>
          <w:sz w:val="19"/>
          <w:vertAlign w:val="subscript"/>
        </w:rPr>
        <w:t>c</w:t>
      </w:r>
      <w:r>
        <w:rPr>
          <w:sz w:val="19"/>
        </w:rPr>
        <w:t>. (a) Lower branch of Q against s</w:t>
      </w:r>
      <w:r>
        <w:rPr>
          <w:sz w:val="19"/>
          <w:vertAlign w:val="subscript"/>
        </w:rPr>
        <w:t>c</w:t>
      </w:r>
      <w:r>
        <w:rPr>
          <w:sz w:val="19"/>
        </w:rPr>
        <w:t xml:space="preserve"> for N = 100 and 200. (b), (c) Q and T</w:t>
      </w:r>
      <w:r>
        <w:rPr>
          <w:sz w:val="19"/>
          <w:vertAlign w:val="subscript"/>
        </w:rPr>
        <w:t>0</w:t>
      </w:r>
      <w:r>
        <w:rPr>
          <w:sz w:val="19"/>
        </w:rPr>
        <w:t xml:space="preserve"> through the fold (continuation in 1/s</w:t>
      </w:r>
      <w:r>
        <w:rPr>
          <w:sz w:val="19"/>
          <w:vertAlign w:val="subscript"/>
        </w:rPr>
        <w:t>c</w:t>
      </w:r>
      <w:r>
        <w:rPr>
          <w:sz w:val="19"/>
        </w:rPr>
        <w:t>, N = 100 and 200; solid: stable, dotted: unstable; points with T</w:t>
      </w:r>
      <w:r>
        <w:rPr>
          <w:sz w:val="19"/>
          <w:vertAlign w:val="subscript"/>
        </w:rPr>
        <w:t>0</w:t>
      </w:r>
      <w:r>
        <w:rPr>
          <w:sz w:val="19"/>
        </w:rPr>
        <w:t xml:space="preserve"> &gt; 100 keV are omitted). The dashed line is the Richardson limit of the fold position.</w:t>
      </w:r>
    </w:p>
    <w:p>
      <w:pPr>
        <w:pStyle w:val="Heading2"/>
      </w:pPr>
      <w:r>
        <w:rPr>
          <w:rFonts w:ascii="Times New Roman" w:hAnsi="Times New Roman"/>
        </w:rPr>
        <w:t>5.5 Tests of the closure theory on the rotation equation</w:t>
      </w:r>
    </w:p>
    <w:p>
      <w:pPr>
        <w:keepNext/>
        <w:spacing w:line="276" w:lineRule="auto" w:after="200"/>
      </w:pPr>
      <w:r>
        <w:rPr>
          <w:b/>
          <w:sz w:val="19"/>
        </w:rPr>
        <w:t>Table 6.</w:t>
      </w:r>
      <w:r>
        <w:rPr>
          <w:sz w:val="19"/>
        </w:rPr>
        <w:t xml:space="preserve"> Steady flux relation F(Λ)Λ = Θ against the direct finite-volume solution of the rotation equation (selected cases; heat decoupled, temperature profile of the baseline, N = 200). Over all 17 cases with a steady state the maximum relative error is 4.8×10</w:t>
      </w:r>
      <w:r>
        <w:rPr>
          <w:sz w:val="19"/>
          <w:vertAlign w:val="superscript"/>
        </w:rPr>
        <w:t>−11</w:t>
      </w:r>
      <w:r>
        <w:rPr>
          <w:sz w:val="19"/>
        </w:rPr>
        <w:t>.</w:t>
      </w:r>
    </w:p>
    <w:tbl>
      <w:tblPr>
        <w:tblStyle w:val="TableGrid"/>
        <w:tblW w:type="auto" w:w="0"/>
        <w:jc w:val="center"/>
        <w:tblLayout w:type="fixed"/>
        <w:tblLook w:firstColumn="1" w:firstRow="1" w:lastColumn="0" w:lastRow="0" w:noHBand="0" w:noVBand="1" w:val="04A0"/>
      </w:tblPr>
      <w:tblGrid>
        <w:gridCol w:w="720"/>
        <w:gridCol w:w="1440"/>
        <w:gridCol w:w="1152"/>
        <w:gridCol w:w="2016"/>
        <w:gridCol w:w="2016"/>
        <w:gridCol w:w="1728"/>
      </w:tblGrid>
      <w:tr>
        <w:trPr>
          <w:tblHeader w:val="true"/>
        </w:trPr>
        <w:tc>
          <w:tcPr>
            <w:tcW w:type="dxa" w:w="720"/>
            <w:shd w:val="clear" w:color="auto" w:fill="E7ECF1"/>
          </w:tcPr>
          <w:p>
            <w:pPr>
              <w:spacing w:line="240" w:lineRule="auto" w:after="20"/>
            </w:pPr>
            <w:r/>
            <w:r>
              <w:rPr>
                <w:b/>
                <w:sz w:val="17"/>
              </w:rPr>
              <w:t>m</w:t>
            </w:r>
          </w:p>
        </w:tc>
        <w:tc>
          <w:tcPr>
            <w:tcW w:type="dxa" w:w="1440"/>
            <w:shd w:val="clear" w:color="auto" w:fill="E7ECF1"/>
          </w:tcPr>
          <w:p>
            <w:pPr>
              <w:spacing w:line="240" w:lineRule="auto" w:after="20"/>
            </w:pPr>
            <w:r/>
            <w:r>
              <w:rPr>
                <w:b/>
                <w:sz w:val="17"/>
              </w:rPr>
              <w:t>Torque (N m)</w:t>
            </w:r>
          </w:p>
        </w:tc>
        <w:tc>
          <w:tcPr>
            <w:tcW w:type="dxa" w:w="1152"/>
            <w:shd w:val="clear" w:color="auto" w:fill="E7ECF1"/>
          </w:tcPr>
          <w:p>
            <w:pPr>
              <w:spacing w:line="240" w:lineRule="auto" w:after="20"/>
            </w:pPr>
            <w:r/>
            <w:r>
              <w:rPr>
                <w:b/>
                <w:sz w:val="17"/>
              </w:rPr>
              <w:t>Θ</w:t>
            </w:r>
            <w:r>
              <w:rPr>
                <w:b/>
                <w:sz w:val="17"/>
                <w:vertAlign w:val="subscript"/>
              </w:rPr>
              <w:t>max</w:t>
            </w:r>
          </w:p>
        </w:tc>
        <w:tc>
          <w:tcPr>
            <w:tcW w:type="dxa" w:w="2016"/>
            <w:shd w:val="clear" w:color="auto" w:fill="E7ECF1"/>
          </w:tcPr>
          <w:p>
            <w:pPr>
              <w:spacing w:line="240" w:lineRule="auto" w:after="20"/>
            </w:pPr>
            <w:r/>
            <w:r>
              <w:rPr>
                <w:b/>
                <w:sz w:val="17"/>
              </w:rPr>
              <w:t>Λ</w:t>
            </w:r>
            <w:r>
              <w:rPr>
                <w:b/>
                <w:sz w:val="17"/>
                <w:vertAlign w:val="subscript"/>
              </w:rPr>
              <w:t>max</w:t>
            </w:r>
            <w:r>
              <w:rPr>
                <w:b/>
                <w:sz w:val="17"/>
              </w:rPr>
              <w:t xml:space="preserve"> predicted</w:t>
            </w:r>
          </w:p>
        </w:tc>
        <w:tc>
          <w:tcPr>
            <w:tcW w:type="dxa" w:w="2016"/>
            <w:shd w:val="clear" w:color="auto" w:fill="E7ECF1"/>
          </w:tcPr>
          <w:p>
            <w:pPr>
              <w:spacing w:line="240" w:lineRule="auto" w:after="20"/>
            </w:pPr>
            <w:r/>
            <w:r>
              <w:rPr>
                <w:b/>
                <w:sz w:val="17"/>
              </w:rPr>
              <w:t>Λ</w:t>
            </w:r>
            <w:r>
              <w:rPr>
                <w:b/>
                <w:sz w:val="17"/>
                <w:vertAlign w:val="subscript"/>
              </w:rPr>
              <w:t>max</w:t>
            </w:r>
            <w:r>
              <w:rPr>
                <w:b/>
                <w:sz w:val="17"/>
              </w:rPr>
              <w:t xml:space="preserve"> simulated</w:t>
            </w:r>
          </w:p>
        </w:tc>
        <w:tc>
          <w:tcPr>
            <w:tcW w:type="dxa" w:w="1728"/>
            <w:shd w:val="clear" w:color="auto" w:fill="E7ECF1"/>
          </w:tcPr>
          <w:p>
            <w:pPr>
              <w:spacing w:line="240" w:lineRule="auto" w:after="20"/>
            </w:pPr>
            <w:r/>
            <w:r>
              <w:rPr>
                <w:b/>
                <w:sz w:val="17"/>
              </w:rPr>
              <w:t>relative error</w:t>
            </w:r>
          </w:p>
        </w:tc>
      </w:tr>
      <w:tr>
        <w:tc>
          <w:tcPr>
            <w:tcW w:type="dxa" w:w="720"/>
          </w:tcPr>
          <w:p>
            <w:pPr>
              <w:spacing w:line="240" w:lineRule="auto" w:after="20"/>
            </w:pPr>
            <w:r/>
            <w:r>
              <w:rPr>
                <w:sz w:val="17"/>
              </w:rPr>
              <w:t>1</w:t>
            </w:r>
          </w:p>
        </w:tc>
        <w:tc>
          <w:tcPr>
            <w:tcW w:type="dxa" w:w="1440"/>
          </w:tcPr>
          <w:p>
            <w:pPr>
              <w:spacing w:line="240" w:lineRule="auto" w:after="20"/>
            </w:pPr>
            <w:r/>
            <w:r>
              <w:rPr>
                <w:sz w:val="17"/>
              </w:rPr>
              <w:t>50</w:t>
            </w:r>
          </w:p>
        </w:tc>
        <w:tc>
          <w:tcPr>
            <w:tcW w:type="dxa" w:w="1152"/>
          </w:tcPr>
          <w:p>
            <w:pPr>
              <w:spacing w:line="240" w:lineRule="auto" w:after="20"/>
            </w:pPr>
            <w:r/>
            <w:r>
              <w:rPr>
                <w:sz w:val="17"/>
              </w:rPr>
              <w:t>0.101</w:t>
            </w:r>
          </w:p>
        </w:tc>
        <w:tc>
          <w:tcPr>
            <w:tcW w:type="dxa" w:w="2016"/>
          </w:tcPr>
          <w:p>
            <w:pPr>
              <w:spacing w:line="240" w:lineRule="auto" w:after="20"/>
            </w:pPr>
            <w:r/>
            <w:r>
              <w:rPr>
                <w:sz w:val="17"/>
              </w:rPr>
              <w:t>0.112183</w:t>
            </w:r>
          </w:p>
        </w:tc>
        <w:tc>
          <w:tcPr>
            <w:tcW w:type="dxa" w:w="2016"/>
          </w:tcPr>
          <w:p>
            <w:pPr>
              <w:spacing w:line="240" w:lineRule="auto" w:after="20"/>
            </w:pPr>
            <w:r/>
            <w:r>
              <w:rPr>
                <w:sz w:val="17"/>
              </w:rPr>
              <w:t>0.112183</w:t>
            </w:r>
          </w:p>
        </w:tc>
        <w:tc>
          <w:tcPr>
            <w:tcW w:type="dxa" w:w="1728"/>
          </w:tcPr>
          <w:p>
            <w:pPr>
              <w:spacing w:line="240" w:lineRule="auto" w:after="20"/>
            </w:pPr>
            <w:r/>
            <w:r>
              <w:rPr>
                <w:sz w:val="17"/>
              </w:rPr>
              <w:t>4.4×10</w:t>
            </w:r>
            <w:r>
              <w:rPr>
                <w:sz w:val="17"/>
                <w:vertAlign w:val="superscript"/>
              </w:rPr>
              <w:t>−13</w:t>
            </w:r>
          </w:p>
        </w:tc>
      </w:tr>
      <w:tr>
        <w:tc>
          <w:tcPr>
            <w:tcW w:type="dxa" w:w="720"/>
          </w:tcPr>
          <w:p>
            <w:pPr>
              <w:spacing w:line="240" w:lineRule="auto" w:after="20"/>
            </w:pPr>
            <w:r/>
            <w:r>
              <w:rPr>
                <w:sz w:val="17"/>
              </w:rPr>
              <w:t>1</w:t>
            </w:r>
          </w:p>
        </w:tc>
        <w:tc>
          <w:tcPr>
            <w:tcW w:type="dxa" w:w="1440"/>
          </w:tcPr>
          <w:p>
            <w:pPr>
              <w:spacing w:line="240" w:lineRule="auto" w:after="20"/>
            </w:pPr>
            <w:r/>
            <w:r>
              <w:rPr>
                <w:sz w:val="17"/>
              </w:rPr>
              <w:t>150</w:t>
            </w:r>
          </w:p>
        </w:tc>
        <w:tc>
          <w:tcPr>
            <w:tcW w:type="dxa" w:w="1152"/>
          </w:tcPr>
          <w:p>
            <w:pPr>
              <w:spacing w:line="240" w:lineRule="auto" w:after="20"/>
            </w:pPr>
            <w:r/>
            <w:r>
              <w:rPr>
                <w:sz w:val="17"/>
              </w:rPr>
              <w:t>0.303</w:t>
            </w:r>
          </w:p>
        </w:tc>
        <w:tc>
          <w:tcPr>
            <w:tcW w:type="dxa" w:w="2016"/>
          </w:tcPr>
          <w:p>
            <w:pPr>
              <w:spacing w:line="240" w:lineRule="auto" w:after="20"/>
            </w:pPr>
            <w:r/>
            <w:r>
              <w:rPr>
                <w:sz w:val="17"/>
              </w:rPr>
              <w:t>0.433904</w:t>
            </w:r>
          </w:p>
        </w:tc>
        <w:tc>
          <w:tcPr>
            <w:tcW w:type="dxa" w:w="2016"/>
          </w:tcPr>
          <w:p>
            <w:pPr>
              <w:spacing w:line="240" w:lineRule="auto" w:after="20"/>
            </w:pPr>
            <w:r/>
            <w:r>
              <w:rPr>
                <w:sz w:val="17"/>
              </w:rPr>
              <w:t>0.433904</w:t>
            </w:r>
          </w:p>
        </w:tc>
        <w:tc>
          <w:tcPr>
            <w:tcW w:type="dxa" w:w="1728"/>
          </w:tcPr>
          <w:p>
            <w:pPr>
              <w:spacing w:line="240" w:lineRule="auto" w:after="20"/>
            </w:pPr>
            <w:r/>
            <w:r>
              <w:rPr>
                <w:sz w:val="17"/>
              </w:rPr>
              <w:t>2.2×10</w:t>
            </w:r>
            <w:r>
              <w:rPr>
                <w:sz w:val="17"/>
                <w:vertAlign w:val="superscript"/>
              </w:rPr>
              <w:t>−12</w:t>
            </w:r>
          </w:p>
        </w:tc>
      </w:tr>
      <w:tr>
        <w:tc>
          <w:tcPr>
            <w:tcW w:type="dxa" w:w="720"/>
          </w:tcPr>
          <w:p>
            <w:pPr>
              <w:spacing w:line="240" w:lineRule="auto" w:after="20"/>
            </w:pPr>
            <w:r/>
            <w:r>
              <w:rPr>
                <w:sz w:val="17"/>
              </w:rPr>
              <w:t>1</w:t>
            </w:r>
          </w:p>
        </w:tc>
        <w:tc>
          <w:tcPr>
            <w:tcW w:type="dxa" w:w="1440"/>
          </w:tcPr>
          <w:p>
            <w:pPr>
              <w:spacing w:line="240" w:lineRule="auto" w:after="20"/>
            </w:pPr>
            <w:r/>
            <w:r>
              <w:rPr>
                <w:sz w:val="17"/>
              </w:rPr>
              <w:t>250</w:t>
            </w:r>
          </w:p>
        </w:tc>
        <w:tc>
          <w:tcPr>
            <w:tcW w:type="dxa" w:w="1152"/>
          </w:tcPr>
          <w:p>
            <w:pPr>
              <w:spacing w:line="240" w:lineRule="auto" w:after="20"/>
            </w:pPr>
            <w:r/>
            <w:r>
              <w:rPr>
                <w:sz w:val="17"/>
              </w:rPr>
              <w:t>0.504</w:t>
            </w:r>
          </w:p>
        </w:tc>
        <w:tc>
          <w:tcPr>
            <w:tcW w:type="dxa" w:w="2016"/>
          </w:tcPr>
          <w:p>
            <w:pPr>
              <w:spacing w:line="240" w:lineRule="auto" w:after="20"/>
            </w:pPr>
            <w:r/>
            <w:r>
              <w:rPr>
                <w:sz w:val="17"/>
              </w:rPr>
              <w:t>1.017506</w:t>
            </w:r>
          </w:p>
        </w:tc>
        <w:tc>
          <w:tcPr>
            <w:tcW w:type="dxa" w:w="2016"/>
          </w:tcPr>
          <w:p>
            <w:pPr>
              <w:spacing w:line="240" w:lineRule="auto" w:after="20"/>
            </w:pPr>
            <w:r/>
            <w:r>
              <w:rPr>
                <w:sz w:val="17"/>
              </w:rPr>
              <w:t>1.017506</w:t>
            </w:r>
          </w:p>
        </w:tc>
        <w:tc>
          <w:tcPr>
            <w:tcW w:type="dxa" w:w="1728"/>
          </w:tcPr>
          <w:p>
            <w:pPr>
              <w:spacing w:line="240" w:lineRule="auto" w:after="20"/>
            </w:pPr>
            <w:r/>
            <w:r>
              <w:rPr>
                <w:sz w:val="17"/>
              </w:rPr>
              <w:t>2.1×10</w:t>
            </w:r>
            <w:r>
              <w:rPr>
                <w:sz w:val="17"/>
                <w:vertAlign w:val="superscript"/>
              </w:rPr>
              <w:t>−11</w:t>
            </w:r>
          </w:p>
        </w:tc>
      </w:tr>
      <w:tr>
        <w:tc>
          <w:tcPr>
            <w:tcW w:type="dxa" w:w="720"/>
          </w:tcPr>
          <w:p>
            <w:pPr>
              <w:spacing w:line="240" w:lineRule="auto" w:after="20"/>
            </w:pPr>
            <w:r/>
            <w:r>
              <w:rPr>
                <w:sz w:val="17"/>
              </w:rPr>
              <w:t>2</w:t>
            </w:r>
          </w:p>
        </w:tc>
        <w:tc>
          <w:tcPr>
            <w:tcW w:type="dxa" w:w="1440"/>
          </w:tcPr>
          <w:p>
            <w:pPr>
              <w:spacing w:line="240" w:lineRule="auto" w:after="20"/>
            </w:pPr>
            <w:r/>
            <w:r>
              <w:rPr>
                <w:sz w:val="17"/>
              </w:rPr>
              <w:t>50</w:t>
            </w:r>
          </w:p>
        </w:tc>
        <w:tc>
          <w:tcPr>
            <w:tcW w:type="dxa" w:w="1152"/>
          </w:tcPr>
          <w:p>
            <w:pPr>
              <w:spacing w:line="240" w:lineRule="auto" w:after="20"/>
            </w:pPr>
            <w:r/>
            <w:r>
              <w:rPr>
                <w:sz w:val="17"/>
              </w:rPr>
              <w:t>0.101</w:t>
            </w:r>
          </w:p>
        </w:tc>
        <w:tc>
          <w:tcPr>
            <w:tcW w:type="dxa" w:w="2016"/>
          </w:tcPr>
          <w:p>
            <w:pPr>
              <w:spacing w:line="240" w:lineRule="auto" w:after="20"/>
            </w:pPr>
            <w:r/>
            <w:r>
              <w:rPr>
                <w:sz w:val="17"/>
              </w:rPr>
              <w:t>0.101915</w:t>
            </w:r>
          </w:p>
        </w:tc>
        <w:tc>
          <w:tcPr>
            <w:tcW w:type="dxa" w:w="2016"/>
          </w:tcPr>
          <w:p>
            <w:pPr>
              <w:spacing w:line="240" w:lineRule="auto" w:after="20"/>
            </w:pPr>
            <w:r/>
            <w:r>
              <w:rPr>
                <w:sz w:val="17"/>
              </w:rPr>
              <w:t>0.101915</w:t>
            </w:r>
          </w:p>
        </w:tc>
        <w:tc>
          <w:tcPr>
            <w:tcW w:type="dxa" w:w="1728"/>
          </w:tcPr>
          <w:p>
            <w:pPr>
              <w:spacing w:line="240" w:lineRule="auto" w:after="20"/>
            </w:pPr>
            <w:r/>
            <w:r>
              <w:rPr>
                <w:sz w:val="17"/>
              </w:rPr>
              <w:t>3.7×10</w:t>
            </w:r>
            <w:r>
              <w:rPr>
                <w:sz w:val="17"/>
                <w:vertAlign w:val="superscript"/>
              </w:rPr>
              <w:t>−14</w:t>
            </w:r>
          </w:p>
        </w:tc>
      </w:tr>
      <w:tr>
        <w:tc>
          <w:tcPr>
            <w:tcW w:type="dxa" w:w="720"/>
          </w:tcPr>
          <w:p>
            <w:pPr>
              <w:spacing w:line="240" w:lineRule="auto" w:after="20"/>
            </w:pPr>
            <w:r/>
            <w:r>
              <w:rPr>
                <w:sz w:val="17"/>
              </w:rPr>
              <w:t>2</w:t>
            </w:r>
          </w:p>
        </w:tc>
        <w:tc>
          <w:tcPr>
            <w:tcW w:type="dxa" w:w="1440"/>
          </w:tcPr>
          <w:p>
            <w:pPr>
              <w:spacing w:line="240" w:lineRule="auto" w:after="20"/>
            </w:pPr>
            <w:r/>
            <w:r>
              <w:rPr>
                <w:sz w:val="17"/>
              </w:rPr>
              <w:t>150</w:t>
            </w:r>
          </w:p>
        </w:tc>
        <w:tc>
          <w:tcPr>
            <w:tcW w:type="dxa" w:w="1152"/>
          </w:tcPr>
          <w:p>
            <w:pPr>
              <w:spacing w:line="240" w:lineRule="auto" w:after="20"/>
            </w:pPr>
            <w:r/>
            <w:r>
              <w:rPr>
                <w:sz w:val="17"/>
              </w:rPr>
              <w:t>0.303</w:t>
            </w:r>
          </w:p>
        </w:tc>
        <w:tc>
          <w:tcPr>
            <w:tcW w:type="dxa" w:w="2016"/>
          </w:tcPr>
          <w:p>
            <w:pPr>
              <w:spacing w:line="240" w:lineRule="auto" w:after="20"/>
            </w:pPr>
            <w:r/>
            <w:r>
              <w:rPr>
                <w:sz w:val="17"/>
              </w:rPr>
              <w:t>0.336962</w:t>
            </w:r>
          </w:p>
        </w:tc>
        <w:tc>
          <w:tcPr>
            <w:tcW w:type="dxa" w:w="2016"/>
          </w:tcPr>
          <w:p>
            <w:pPr>
              <w:spacing w:line="240" w:lineRule="auto" w:after="20"/>
            </w:pPr>
            <w:r/>
            <w:r>
              <w:rPr>
                <w:sz w:val="17"/>
              </w:rPr>
              <w:t>0.336962</w:t>
            </w:r>
          </w:p>
        </w:tc>
        <w:tc>
          <w:tcPr>
            <w:tcW w:type="dxa" w:w="1728"/>
          </w:tcPr>
          <w:p>
            <w:pPr>
              <w:spacing w:line="240" w:lineRule="auto" w:after="20"/>
            </w:pPr>
            <w:r/>
            <w:r>
              <w:rPr>
                <w:sz w:val="17"/>
              </w:rPr>
              <w:t>3.4×10</w:t>
            </w:r>
            <w:r>
              <w:rPr>
                <w:sz w:val="17"/>
                <w:vertAlign w:val="superscript"/>
              </w:rPr>
              <w:t>−11</w:t>
            </w:r>
          </w:p>
        </w:tc>
      </w:tr>
      <w:tr>
        <w:tc>
          <w:tcPr>
            <w:tcW w:type="dxa" w:w="720"/>
          </w:tcPr>
          <w:p>
            <w:pPr>
              <w:spacing w:line="240" w:lineRule="auto" w:after="20"/>
            </w:pPr>
            <w:r/>
            <w:r>
              <w:rPr>
                <w:sz w:val="17"/>
              </w:rPr>
              <w:t>2</w:t>
            </w:r>
          </w:p>
        </w:tc>
        <w:tc>
          <w:tcPr>
            <w:tcW w:type="dxa" w:w="1440"/>
          </w:tcPr>
          <w:p>
            <w:pPr>
              <w:spacing w:line="240" w:lineRule="auto" w:after="20"/>
            </w:pPr>
            <w:r/>
            <w:r>
              <w:rPr>
                <w:sz w:val="17"/>
              </w:rPr>
              <w:t>250</w:t>
            </w:r>
          </w:p>
        </w:tc>
        <w:tc>
          <w:tcPr>
            <w:tcW w:type="dxa" w:w="1152"/>
          </w:tcPr>
          <w:p>
            <w:pPr>
              <w:spacing w:line="240" w:lineRule="auto" w:after="20"/>
            </w:pPr>
            <w:r/>
            <w:r>
              <w:rPr>
                <w:sz w:val="17"/>
              </w:rPr>
              <w:t>0.504</w:t>
            </w:r>
          </w:p>
        </w:tc>
        <w:tc>
          <w:tcPr>
            <w:tcW w:type="dxa" w:w="2016"/>
          </w:tcPr>
          <w:p>
            <w:pPr>
              <w:spacing w:line="240" w:lineRule="auto" w:after="20"/>
            </w:pPr>
            <w:r/>
            <w:r>
              <w:rPr>
                <w:sz w:val="17"/>
              </w:rPr>
              <w:t>none (Θ &gt; Ψ</w:t>
            </w:r>
            <w:r>
              <w:rPr>
                <w:sz w:val="17"/>
                <w:vertAlign w:val="subscript"/>
              </w:rPr>
              <w:t>∞</w:t>
            </w:r>
            <w:r>
              <w:rPr>
                <w:sz w:val="17"/>
              </w:rPr>
              <w:t>)</w:t>
            </w:r>
          </w:p>
        </w:tc>
        <w:tc>
          <w:tcPr>
            <w:tcW w:type="dxa" w:w="2016"/>
          </w:tcPr>
          <w:p>
            <w:pPr>
              <w:spacing w:line="240" w:lineRule="auto" w:after="20"/>
            </w:pPr>
            <w:r/>
            <w:r>
              <w:rPr>
                <w:sz w:val="17"/>
              </w:rPr>
              <w:t>no steady state</w:t>
            </w:r>
          </w:p>
        </w:tc>
        <w:tc>
          <w:tcPr>
            <w:tcW w:type="dxa" w:w="1728"/>
          </w:tcPr>
          <w:p>
            <w:pPr>
              <w:spacing w:line="240" w:lineRule="auto" w:after="20"/>
            </w:pPr>
            <w:r/>
            <w:r>
              <w:rPr>
                <w:sz w:val="17"/>
              </w:rPr>
              <w:t>–</w:t>
            </w:r>
          </w:p>
        </w:tc>
      </w:tr>
    </w:tbl>
    <w:p>
      <w:pPr>
        <w:spacing w:after="40"/>
      </w:pPr>
    </w:p>
    <w:p>
      <w:pPr>
        <w:keepNext w:val="0"/>
        <w:jc w:val="both"/>
      </w:pPr>
      <w:r>
        <w:t>The rotation equation was solved directly (finite volume, N = 200, the baseline temperature profile, torques from 25 to 250 N m, closures with m = 0.5, 1 and 2) and compared with Proposition 1 (Table 6, Figure 6a). Where a steady state exists the simulated shearing rate agrees with the solution of F(Λ)Λ = Θ(r) to a relative error of at most 4.8×10</w:t>
      </w:r>
      <w:r>
        <w:rPr>
          <w:vertAlign w:val="superscript"/>
        </w:rPr>
        <w:t>−11</w:t>
      </w:r>
      <w:r>
        <w:t>, and whether a steady state exists agrees with Θ</w:t>
      </w:r>
      <w:r>
        <w:rPr>
          <w:vertAlign w:val="subscript"/>
        </w:rPr>
        <w:t>max</w:t>
      </w:r>
      <w:r>
        <w:t xml:space="preserve"> &lt; Ψ</w:t>
      </w:r>
      <w:r>
        <w:rPr>
          <w:vertAlign w:val="subscript"/>
        </w:rPr>
        <w:t>∞</w:t>
      </w:r>
      <w:r>
        <w:t xml:space="preserve"> in every case. The torque number is proportional to the torque, Θ</w:t>
      </w:r>
      <w:r>
        <w:rPr>
          <w:vertAlign w:val="subscript"/>
        </w:rPr>
        <w:t>max</w:t>
      </w:r>
      <w:r>
        <w:t xml:space="preserve"> = 2.017×10</w:t>
      </w:r>
      <w:r>
        <w:rPr>
          <w:vertAlign w:val="superscript"/>
        </w:rPr>
        <w:t>−3</w:t>
      </w:r>
      <w:r>
        <w:t xml:space="preserve"> per N m. The last torque with a steady state is 247.8 N m for m = 2, where Θ</w:t>
      </w:r>
      <w:r>
        <w:rPr>
          <w:vertAlign w:val="subscript"/>
        </w:rPr>
        <w:t>max</w:t>
      </w:r>
      <w:r>
        <w:t xml:space="preserve"> = 0.500000 (predicted fold at 1/2), and 495.7 N m for m = 1, where Θ</w:t>
      </w:r>
      <w:r>
        <w:rPr>
          <w:vertAlign w:val="subscript"/>
        </w:rPr>
        <w:t>max</w:t>
      </w:r>
      <w:r>
        <w:t xml:space="preserve"> = 0.999994 (predicted saturation at 1).</w:t>
      </w:r>
    </w:p>
    <w:p>
      <w:pPr>
        <w:keepNext w:val="0"/>
        <w:jc w:val="both"/>
      </w:pPr>
      <w:r>
        <w:t>For the floor closure with f = 0.05 &lt; 1/9, Ψ has a maximum Ψ</w:t>
      </w:r>
      <w:r>
        <w:rPr>
          <w:vertAlign w:val="subscript"/>
        </w:rPr>
        <w:t>M</w:t>
      </w:r>
      <w:r>
        <w:t xml:space="preserve"> = 0.5280 and a minimum Ψ</w:t>
      </w:r>
      <w:r>
        <w:rPr>
          <w:vertAlign w:val="subscript"/>
        </w:rPr>
        <w:t>m</w:t>
      </w:r>
      <w:r>
        <w:t xml:space="preserve"> = 0.4235, which Proposition 2 translates into a hysteresis window of 210–262 N m. Torque ramps (10 N m steps, backward-Euler marching from the previous state) show the up-ramp on the low branch to the last torque below the window, a jump between 260 and 280 N m, and a down-ramp that stays on the high branch to 240 N m and returns to the low branch at or below 210 N m (Figure 6b). For f = 0.20 &gt; 1/9 the up and down ramps coincide to 10</w:t>
      </w:r>
      <w:r>
        <w:rPr>
          <w:vertAlign w:val="superscript"/>
        </w:rPr>
        <w:t>−6</w:t>
      </w:r>
      <w:r>
        <w:t>. Near the jump the marching converges slowly (critical slowing down), and the points at 210–230 N m on the down-ramp and at 270 N m on the up-ramp are not converged and are omitted.</w:t>
      </w:r>
    </w:p>
    <w:p>
      <w:pPr>
        <w:keepNext/>
        <w:spacing w:before="160" w:after="40"/>
        <w:jc w:val="center"/>
      </w:pPr>
      <w:r>
        <w:drawing>
          <wp:inline xmlns:a="http://schemas.openxmlformats.org/drawingml/2006/main" xmlns:pic="http://schemas.openxmlformats.org/drawingml/2006/picture">
            <wp:extent cx="4937760" cy="2093120"/>
            <wp:docPr id="5" name="Picture 5" descr="Two panels of the normalised flux against shearing rate for several viscosity closures."/>
            <wp:cNvGraphicFramePr>
              <a:graphicFrameLocks noChangeAspect="1"/>
            </wp:cNvGraphicFramePr>
            <a:graphic>
              <a:graphicData uri="http://schemas.openxmlformats.org/drawingml/2006/picture">
                <pic:pic>
                  <pic:nvPicPr>
                    <pic:cNvPr id="0" name="fig5_flux.png"/>
                    <pic:cNvPicPr/>
                  </pic:nvPicPr>
                  <pic:blipFill>
                    <a:blip r:embed="rId14"/>
                    <a:stretch>
                      <a:fillRect/>
                    </a:stretch>
                  </pic:blipFill>
                  <pic:spPr>
                    <a:xfrm>
                      <a:off x="0" y="0"/>
                      <a:ext cx="4937760" cy="2093120"/>
                    </a:xfrm>
                    <a:prstGeom prst="rect"/>
                  </pic:spPr>
                </pic:pic>
              </a:graphicData>
            </a:graphic>
          </wp:inline>
        </w:drawing>
      </w:r>
    </w:p>
    <w:p>
      <w:pPr>
        <w:keepNext w:val="0"/>
        <w:spacing w:line="276" w:lineRule="auto" w:after="200"/>
      </w:pPr>
      <w:r>
        <w:rPr>
          <w:b/>
          <w:sz w:val="19"/>
        </w:rPr>
        <w:t>Figure 5.</w:t>
      </w:r>
      <w:r>
        <w:rPr>
          <w:sz w:val="19"/>
        </w:rPr>
        <w:t xml:space="preserve"> Normalised flux Ψ = ΛF(Λ) for (a) F = 1/(1 + Λ</w:t>
      </w:r>
      <w:r>
        <w:rPr>
          <w:sz w:val="19"/>
          <w:vertAlign w:val="superscript"/>
        </w:rPr>
        <w:t>m</w:t>
      </w:r>
      <w:r>
        <w:rPr>
          <w:sz w:val="19"/>
        </w:rPr>
        <w:t>) and (b) the floor closures. Decreasing branches are inadmissible: for m = 2 the fold is at Θ = 1/2 (marked); the algebraic floor f = 0.05 is below 1/9 and shows a maximum and a minimum, f = 0.20 is monotone; the exponential floor is monotone for f = 0.40 and not for f = 0.20 (threshold 0.3086).</w:t>
      </w:r>
    </w:p>
    <w:p>
      <w:pPr>
        <w:keepNext/>
        <w:spacing w:before="160" w:after="40"/>
        <w:jc w:val="center"/>
      </w:pPr>
      <w:r>
        <w:drawing>
          <wp:inline xmlns:a="http://schemas.openxmlformats.org/drawingml/2006/main" xmlns:pic="http://schemas.openxmlformats.org/drawingml/2006/picture">
            <wp:extent cx="4937760" cy="2095144"/>
            <wp:docPr id="6" name="Picture 6" descr="Two panels testing the flux relation against direct solutions and showing a hysteresis loop for the low floor."/>
            <wp:cNvGraphicFramePr>
              <a:graphicFrameLocks noChangeAspect="1"/>
            </wp:cNvGraphicFramePr>
            <a:graphic>
              <a:graphicData uri="http://schemas.openxmlformats.org/drawingml/2006/picture">
                <pic:pic>
                  <pic:nvPicPr>
                    <pic:cNvPr id="0" name="fig6_rotation_tests.png"/>
                    <pic:cNvPicPr/>
                  </pic:nvPicPr>
                  <pic:blipFill>
                    <a:blip r:embed="rId15"/>
                    <a:stretch>
                      <a:fillRect/>
                    </a:stretch>
                  </pic:blipFill>
                  <pic:spPr>
                    <a:xfrm>
                      <a:off x="0" y="0"/>
                      <a:ext cx="4937760" cy="2095144"/>
                    </a:xfrm>
                    <a:prstGeom prst="rect"/>
                  </pic:spPr>
                </pic:pic>
              </a:graphicData>
            </a:graphic>
          </wp:inline>
        </w:drawing>
      </w:r>
    </w:p>
    <w:p>
      <w:pPr>
        <w:keepNext w:val="0"/>
        <w:spacing w:line="276" w:lineRule="auto" w:after="200"/>
      </w:pPr>
      <w:r>
        <w:rPr>
          <w:b/>
          <w:sz w:val="19"/>
        </w:rPr>
        <w:t>Figure 6.</w:t>
      </w:r>
      <w:r>
        <w:rPr>
          <w:sz w:val="19"/>
        </w:rPr>
        <w:t xml:space="preserve"> (a) Maximum shearing rate from the direct solution against the prediction of F(Λ)Λ = Θ for m = 0.5, 1, 2 (line: equality). (b) Torque ramps for the floor closure with f = 0.05 (hysteresis; the shaded band is the predicted window) and f = 0.20 (none). Solid: increasing torque, dashed: decreasing torque.</w:t>
      </w:r>
    </w:p>
    <w:p>
      <w:pPr>
        <w:pStyle w:val="Heading2"/>
      </w:pPr>
      <w:r>
        <w:rPr>
          <w:rFonts w:ascii="Times New Roman" w:hAnsi="Times New Roman"/>
        </w:rPr>
        <w:t>5.6 Torque-driven shear</w:t>
      </w:r>
    </w:p>
    <w:p>
      <w:pPr>
        <w:keepNext/>
        <w:spacing w:line="276" w:lineRule="auto" w:after="200"/>
      </w:pPr>
      <w:r>
        <w:rPr>
          <w:b/>
          <w:sz w:val="19"/>
        </w:rPr>
        <w:t>Table 7.</w:t>
      </w:r>
      <w:r>
        <w:rPr>
          <w:sz w:val="19"/>
        </w:rPr>
        <w:t xml:space="preserve"> Fusion gain with torque-driven shear (s</w:t>
      </w:r>
      <w:r>
        <w:rPr>
          <w:sz w:val="19"/>
          <w:vertAlign w:val="subscript"/>
        </w:rPr>
        <w:t>c</w:t>
      </w:r>
      <w:r>
        <w:rPr>
          <w:sz w:val="19"/>
        </w:rPr>
        <w:t xml:space="preserve"> = 0.5, Pr = 1, N = 100, 40 MW); σ = +1 (shears add) except in the last column. Θ</w:t>
      </w:r>
      <w:r>
        <w:rPr>
          <w:sz w:val="19"/>
          <w:vertAlign w:val="subscript"/>
        </w:rPr>
        <w:t>max</w:t>
      </w:r>
      <w:r>
        <w:rPr>
          <w:sz w:val="19"/>
        </w:rPr>
        <w:t xml:space="preserve"> and the Mach number R</w:t>
      </w:r>
      <w:r>
        <w:rPr>
          <w:sz w:val="19"/>
          <w:vertAlign w:val="subscript"/>
        </w:rPr>
        <w:t>0</w:t>
      </w:r>
      <w:r>
        <w:rPr>
          <w:sz w:val="19"/>
        </w:rPr>
        <w:t>Ω/c</w:t>
      </w:r>
      <w:r>
        <w:rPr>
          <w:sz w:val="19"/>
          <w:vertAlign w:val="subscript"/>
        </w:rPr>
        <w:t>s</w:t>
      </w:r>
      <w:r>
        <w:rPr>
          <w:sz w:val="19"/>
        </w:rPr>
        <w:t xml:space="preserve"> (maximum over r) are for the constant viscosity. 'No steady state': the rotation equation has none (m = 2 at Θ &gt; 1/2).</w:t>
      </w:r>
    </w:p>
    <w:tbl>
      <w:tblPr>
        <w:tblStyle w:val="TableGrid"/>
        <w:tblW w:type="auto" w:w="0"/>
        <w:jc w:val="center"/>
        <w:tblLayout w:type="fixed"/>
        <w:tblLook w:firstColumn="1" w:firstRow="1" w:lastColumn="0" w:lastRow="0" w:noHBand="0" w:noVBand="1" w:val="04A0"/>
      </w:tblPr>
      <w:tblGrid>
        <w:gridCol w:w="1152"/>
        <w:gridCol w:w="864"/>
        <w:gridCol w:w="720"/>
        <w:gridCol w:w="1152"/>
        <w:gridCol w:w="1008"/>
        <w:gridCol w:w="1440"/>
        <w:gridCol w:w="1152"/>
        <w:gridCol w:w="1440"/>
      </w:tblGrid>
      <w:tr>
        <w:trPr>
          <w:tblHeader w:val="true"/>
        </w:trPr>
        <w:tc>
          <w:tcPr>
            <w:tcW w:type="dxa" w:w="1152"/>
            <w:shd w:val="clear" w:color="auto" w:fill="E7ECF1"/>
          </w:tcPr>
          <w:p>
            <w:pPr>
              <w:spacing w:line="240" w:lineRule="auto" w:after="20"/>
            </w:pPr>
            <w:r/>
            <w:r>
              <w:rPr>
                <w:b/>
                <w:sz w:val="16"/>
              </w:rPr>
              <w:t>Torque (N m)</w:t>
            </w:r>
          </w:p>
        </w:tc>
        <w:tc>
          <w:tcPr>
            <w:tcW w:type="dxa" w:w="864"/>
            <w:shd w:val="clear" w:color="auto" w:fill="E7ECF1"/>
          </w:tcPr>
          <w:p>
            <w:pPr>
              <w:spacing w:line="240" w:lineRule="auto" w:after="20"/>
            </w:pPr>
            <w:r/>
            <w:r>
              <w:rPr>
                <w:b/>
                <w:sz w:val="16"/>
              </w:rPr>
              <w:t>Θ</w:t>
            </w:r>
            <w:r>
              <w:rPr>
                <w:b/>
                <w:sz w:val="16"/>
                <w:vertAlign w:val="subscript"/>
              </w:rPr>
              <w:t>max</w:t>
            </w:r>
          </w:p>
        </w:tc>
        <w:tc>
          <w:tcPr>
            <w:tcW w:type="dxa" w:w="720"/>
            <w:shd w:val="clear" w:color="auto" w:fill="E7ECF1"/>
          </w:tcPr>
          <w:p>
            <w:pPr>
              <w:spacing w:line="240" w:lineRule="auto" w:after="20"/>
            </w:pPr>
            <w:r/>
            <w:r>
              <w:rPr>
                <w:b/>
                <w:sz w:val="16"/>
              </w:rPr>
              <w:t>Mach</w:t>
            </w:r>
          </w:p>
        </w:tc>
        <w:tc>
          <w:tcPr>
            <w:tcW w:type="dxa" w:w="1152"/>
            <w:shd w:val="clear" w:color="auto" w:fill="E7ECF1"/>
          </w:tcPr>
          <w:p>
            <w:pPr>
              <w:spacing w:line="240" w:lineRule="auto" w:after="20"/>
            </w:pPr>
            <w:r/>
            <w:r>
              <w:rPr>
                <w:b/>
                <w:sz w:val="16"/>
              </w:rPr>
              <w:t>Q constant</w:t>
            </w:r>
          </w:p>
        </w:tc>
        <w:tc>
          <w:tcPr>
            <w:tcW w:type="dxa" w:w="1008"/>
            <w:shd w:val="clear" w:color="auto" w:fill="E7ECF1"/>
          </w:tcPr>
          <w:p>
            <w:pPr>
              <w:spacing w:line="240" w:lineRule="auto" w:after="20"/>
            </w:pPr>
            <w:r/>
            <w:r>
              <w:rPr>
                <w:b/>
                <w:sz w:val="16"/>
              </w:rPr>
              <w:t>Q, m = 1</w:t>
            </w:r>
          </w:p>
        </w:tc>
        <w:tc>
          <w:tcPr>
            <w:tcW w:type="dxa" w:w="1440"/>
            <w:shd w:val="clear" w:color="auto" w:fill="E7ECF1"/>
          </w:tcPr>
          <w:p>
            <w:pPr>
              <w:spacing w:line="240" w:lineRule="auto" w:after="20"/>
            </w:pPr>
            <w:r/>
            <w:r>
              <w:rPr>
                <w:b/>
                <w:sz w:val="16"/>
              </w:rPr>
              <w:t>Q, m = 2, f = 0.20</w:t>
            </w:r>
          </w:p>
        </w:tc>
        <w:tc>
          <w:tcPr>
            <w:tcW w:type="dxa" w:w="1152"/>
            <w:shd w:val="clear" w:color="auto" w:fill="E7ECF1"/>
          </w:tcPr>
          <w:p>
            <w:pPr>
              <w:spacing w:line="240" w:lineRule="auto" w:after="20"/>
            </w:pPr>
            <w:r/>
            <w:r>
              <w:rPr>
                <w:b/>
                <w:sz w:val="16"/>
              </w:rPr>
              <w:t>Q, m = 2</w:t>
            </w:r>
          </w:p>
        </w:tc>
        <w:tc>
          <w:tcPr>
            <w:tcW w:type="dxa" w:w="1440"/>
            <w:shd w:val="clear" w:color="auto" w:fill="E7ECF1"/>
          </w:tcPr>
          <w:p>
            <w:pPr>
              <w:spacing w:line="240" w:lineRule="auto" w:after="20"/>
            </w:pPr>
            <w:r/>
            <w:r>
              <w:rPr>
                <w:b/>
                <w:sz w:val="16"/>
              </w:rPr>
              <w:t>Q constant, σ = −1</w:t>
            </w:r>
          </w:p>
        </w:tc>
      </w:tr>
      <w:tr>
        <w:tc>
          <w:tcPr>
            <w:tcW w:type="dxa" w:w="1152"/>
          </w:tcPr>
          <w:p>
            <w:pPr>
              <w:spacing w:line="240" w:lineRule="auto" w:after="20"/>
            </w:pPr>
            <w:r/>
            <w:r>
              <w:rPr>
                <w:sz w:val="16"/>
              </w:rPr>
              <w:t>0</w:t>
            </w:r>
          </w:p>
        </w:tc>
        <w:tc>
          <w:tcPr>
            <w:tcW w:type="dxa" w:w="864"/>
          </w:tcPr>
          <w:p>
            <w:pPr>
              <w:spacing w:line="240" w:lineRule="auto" w:after="20"/>
            </w:pPr>
            <w:r/>
            <w:r>
              <w:rPr>
                <w:sz w:val="16"/>
              </w:rPr>
              <w:t>0</w:t>
            </w:r>
          </w:p>
        </w:tc>
        <w:tc>
          <w:tcPr>
            <w:tcW w:type="dxa" w:w="720"/>
          </w:tcPr>
          <w:p>
            <w:pPr>
              <w:spacing w:line="240" w:lineRule="auto" w:after="20"/>
            </w:pPr>
            <w:r/>
            <w:r>
              <w:rPr>
                <w:sz w:val="16"/>
              </w:rPr>
              <w:t>0</w:t>
            </w:r>
          </w:p>
        </w:tc>
        <w:tc>
          <w:tcPr>
            <w:tcW w:type="dxa" w:w="1152"/>
          </w:tcPr>
          <w:p>
            <w:pPr>
              <w:spacing w:line="240" w:lineRule="auto" w:after="20"/>
            </w:pPr>
            <w:r/>
            <w:r>
              <w:rPr>
                <w:sz w:val="16"/>
              </w:rPr>
              <w:t>3.71</w:t>
            </w:r>
          </w:p>
        </w:tc>
        <w:tc>
          <w:tcPr>
            <w:tcW w:type="dxa" w:w="1008"/>
          </w:tcPr>
          <w:p>
            <w:pPr>
              <w:spacing w:line="240" w:lineRule="auto" w:after="20"/>
            </w:pPr>
            <w:r/>
            <w:r>
              <w:rPr>
                <w:sz w:val="16"/>
              </w:rPr>
              <w:t>3.71</w:t>
            </w:r>
          </w:p>
        </w:tc>
        <w:tc>
          <w:tcPr>
            <w:tcW w:type="dxa" w:w="1440"/>
          </w:tcPr>
          <w:p>
            <w:pPr>
              <w:spacing w:line="240" w:lineRule="auto" w:after="20"/>
            </w:pPr>
            <w:r/>
            <w:r>
              <w:rPr>
                <w:sz w:val="16"/>
              </w:rPr>
              <w:t>3.71</w:t>
            </w:r>
          </w:p>
        </w:tc>
        <w:tc>
          <w:tcPr>
            <w:tcW w:type="dxa" w:w="1152"/>
          </w:tcPr>
          <w:p>
            <w:pPr>
              <w:spacing w:line="240" w:lineRule="auto" w:after="20"/>
            </w:pPr>
            <w:r/>
            <w:r>
              <w:rPr>
                <w:sz w:val="16"/>
              </w:rPr>
              <w:t>3.71</w:t>
            </w:r>
          </w:p>
        </w:tc>
        <w:tc>
          <w:tcPr>
            <w:tcW w:type="dxa" w:w="1440"/>
          </w:tcPr>
          <w:p>
            <w:pPr>
              <w:spacing w:line="240" w:lineRule="auto" w:after="20"/>
            </w:pPr>
            <w:r/>
            <w:r>
              <w:rPr>
                <w:sz w:val="16"/>
              </w:rPr>
              <w:t>3.71</w:t>
            </w:r>
          </w:p>
        </w:tc>
      </w:tr>
      <w:tr>
        <w:tc>
          <w:tcPr>
            <w:tcW w:type="dxa" w:w="1152"/>
          </w:tcPr>
          <w:p>
            <w:pPr>
              <w:spacing w:line="240" w:lineRule="auto" w:after="20"/>
            </w:pPr>
            <w:r/>
            <w:r>
              <w:rPr>
                <w:sz w:val="16"/>
              </w:rPr>
              <w:t>50</w:t>
            </w:r>
          </w:p>
        </w:tc>
        <w:tc>
          <w:tcPr>
            <w:tcW w:type="dxa" w:w="864"/>
          </w:tcPr>
          <w:p>
            <w:pPr>
              <w:spacing w:line="240" w:lineRule="auto" w:after="20"/>
            </w:pPr>
            <w:r/>
            <w:r>
              <w:rPr>
                <w:sz w:val="16"/>
              </w:rPr>
              <w:t>0.100</w:t>
            </w:r>
          </w:p>
        </w:tc>
        <w:tc>
          <w:tcPr>
            <w:tcW w:type="dxa" w:w="720"/>
          </w:tcPr>
          <w:p>
            <w:pPr>
              <w:spacing w:line="240" w:lineRule="auto" w:after="20"/>
            </w:pPr>
            <w:r/>
            <w:r>
              <w:rPr>
                <w:sz w:val="16"/>
              </w:rPr>
              <w:t>0.17</w:t>
            </w:r>
          </w:p>
        </w:tc>
        <w:tc>
          <w:tcPr>
            <w:tcW w:type="dxa" w:w="1152"/>
          </w:tcPr>
          <w:p>
            <w:pPr>
              <w:spacing w:line="240" w:lineRule="auto" w:after="20"/>
            </w:pPr>
            <w:r/>
            <w:r>
              <w:rPr>
                <w:sz w:val="16"/>
              </w:rPr>
              <w:t>3.82</w:t>
            </w:r>
          </w:p>
        </w:tc>
        <w:tc>
          <w:tcPr>
            <w:tcW w:type="dxa" w:w="1008"/>
          </w:tcPr>
          <w:p>
            <w:pPr>
              <w:spacing w:line="240" w:lineRule="auto" w:after="20"/>
            </w:pPr>
            <w:r/>
            <w:r>
              <w:rPr>
                <w:sz w:val="16"/>
              </w:rPr>
              <w:t>3.83</w:t>
            </w:r>
          </w:p>
        </w:tc>
        <w:tc>
          <w:tcPr>
            <w:tcW w:type="dxa" w:w="1440"/>
          </w:tcPr>
          <w:p>
            <w:pPr>
              <w:spacing w:line="240" w:lineRule="auto" w:after="20"/>
            </w:pPr>
            <w:r/>
            <w:r>
              <w:rPr>
                <w:sz w:val="16"/>
              </w:rPr>
              <w:t>3.82</w:t>
            </w:r>
          </w:p>
        </w:tc>
        <w:tc>
          <w:tcPr>
            <w:tcW w:type="dxa" w:w="1152"/>
          </w:tcPr>
          <w:p>
            <w:pPr>
              <w:spacing w:line="240" w:lineRule="auto" w:after="20"/>
            </w:pPr>
            <w:r/>
            <w:r>
              <w:rPr>
                <w:sz w:val="16"/>
              </w:rPr>
              <w:t>3.82</w:t>
            </w:r>
          </w:p>
        </w:tc>
        <w:tc>
          <w:tcPr>
            <w:tcW w:type="dxa" w:w="1440"/>
          </w:tcPr>
          <w:p>
            <w:pPr>
              <w:spacing w:line="240" w:lineRule="auto" w:after="20"/>
            </w:pPr>
            <w:r/>
            <w:r>
              <w:rPr>
                <w:sz w:val="16"/>
              </w:rPr>
              <w:t>3.76</w:t>
            </w:r>
          </w:p>
        </w:tc>
      </w:tr>
      <w:tr>
        <w:tc>
          <w:tcPr>
            <w:tcW w:type="dxa" w:w="1152"/>
          </w:tcPr>
          <w:p>
            <w:pPr>
              <w:spacing w:line="240" w:lineRule="auto" w:after="20"/>
            </w:pPr>
            <w:r/>
            <w:r>
              <w:rPr>
                <w:sz w:val="16"/>
              </w:rPr>
              <w:t>100</w:t>
            </w:r>
          </w:p>
        </w:tc>
        <w:tc>
          <w:tcPr>
            <w:tcW w:type="dxa" w:w="864"/>
          </w:tcPr>
          <w:p>
            <w:pPr>
              <w:spacing w:line="240" w:lineRule="auto" w:after="20"/>
            </w:pPr>
            <w:r/>
            <w:r>
              <w:rPr>
                <w:sz w:val="16"/>
              </w:rPr>
              <w:t>0.199</w:t>
            </w:r>
          </w:p>
        </w:tc>
        <w:tc>
          <w:tcPr>
            <w:tcW w:type="dxa" w:w="720"/>
          </w:tcPr>
          <w:p>
            <w:pPr>
              <w:spacing w:line="240" w:lineRule="auto" w:after="20"/>
            </w:pPr>
            <w:r/>
            <w:r>
              <w:rPr>
                <w:sz w:val="16"/>
              </w:rPr>
              <w:t>0.33</w:t>
            </w:r>
          </w:p>
        </w:tc>
        <w:tc>
          <w:tcPr>
            <w:tcW w:type="dxa" w:w="1152"/>
          </w:tcPr>
          <w:p>
            <w:pPr>
              <w:spacing w:line="240" w:lineRule="auto" w:after="20"/>
            </w:pPr>
            <w:r/>
            <w:r>
              <w:rPr>
                <w:sz w:val="16"/>
              </w:rPr>
              <w:t>4.07</w:t>
            </w:r>
          </w:p>
        </w:tc>
        <w:tc>
          <w:tcPr>
            <w:tcW w:type="dxa" w:w="1008"/>
          </w:tcPr>
          <w:p>
            <w:pPr>
              <w:spacing w:line="240" w:lineRule="auto" w:after="20"/>
            </w:pPr>
            <w:r/>
            <w:r>
              <w:rPr>
                <w:sz w:val="16"/>
              </w:rPr>
              <w:t>4.23</w:t>
            </w:r>
          </w:p>
        </w:tc>
        <w:tc>
          <w:tcPr>
            <w:tcW w:type="dxa" w:w="1440"/>
          </w:tcPr>
          <w:p>
            <w:pPr>
              <w:spacing w:line="240" w:lineRule="auto" w:after="20"/>
            </w:pPr>
            <w:r/>
            <w:r>
              <w:rPr>
                <w:sz w:val="16"/>
              </w:rPr>
              <w:t>4.09</w:t>
            </w:r>
          </w:p>
        </w:tc>
        <w:tc>
          <w:tcPr>
            <w:tcW w:type="dxa" w:w="1152"/>
          </w:tcPr>
          <w:p>
            <w:pPr>
              <w:spacing w:line="240" w:lineRule="auto" w:after="20"/>
            </w:pPr>
            <w:r/>
            <w:r>
              <w:rPr>
                <w:sz w:val="16"/>
              </w:rPr>
              <w:t>4.09</w:t>
            </w:r>
          </w:p>
        </w:tc>
        <w:tc>
          <w:tcPr>
            <w:tcW w:type="dxa" w:w="1440"/>
          </w:tcPr>
          <w:p>
            <w:pPr>
              <w:spacing w:line="240" w:lineRule="auto" w:after="20"/>
            </w:pPr>
            <w:r/>
            <w:r>
              <w:rPr>
                <w:sz w:val="16"/>
              </w:rPr>
              <w:t>3.97</w:t>
            </w:r>
          </w:p>
        </w:tc>
      </w:tr>
      <w:tr>
        <w:tc>
          <w:tcPr>
            <w:tcW w:type="dxa" w:w="1152"/>
          </w:tcPr>
          <w:p>
            <w:pPr>
              <w:spacing w:line="240" w:lineRule="auto" w:after="20"/>
            </w:pPr>
            <w:r/>
            <w:r>
              <w:rPr>
                <w:sz w:val="16"/>
              </w:rPr>
              <w:t>150</w:t>
            </w:r>
          </w:p>
        </w:tc>
        <w:tc>
          <w:tcPr>
            <w:tcW w:type="dxa" w:w="864"/>
          </w:tcPr>
          <w:p>
            <w:pPr>
              <w:spacing w:line="240" w:lineRule="auto" w:after="20"/>
            </w:pPr>
            <w:r/>
            <w:r>
              <w:rPr>
                <w:sz w:val="16"/>
              </w:rPr>
              <w:t>0.293</w:t>
            </w:r>
          </w:p>
        </w:tc>
        <w:tc>
          <w:tcPr>
            <w:tcW w:type="dxa" w:w="720"/>
          </w:tcPr>
          <w:p>
            <w:pPr>
              <w:spacing w:line="240" w:lineRule="auto" w:after="20"/>
            </w:pPr>
            <w:r/>
            <w:r>
              <w:rPr>
                <w:sz w:val="16"/>
              </w:rPr>
              <w:t>0.48</w:t>
            </w:r>
          </w:p>
        </w:tc>
        <w:tc>
          <w:tcPr>
            <w:tcW w:type="dxa" w:w="1152"/>
          </w:tcPr>
          <w:p>
            <w:pPr>
              <w:spacing w:line="240" w:lineRule="auto" w:after="20"/>
            </w:pPr>
            <w:r/>
            <w:r>
              <w:rPr>
                <w:sz w:val="16"/>
              </w:rPr>
              <w:t>4.45</w:t>
            </w:r>
          </w:p>
        </w:tc>
        <w:tc>
          <w:tcPr>
            <w:tcW w:type="dxa" w:w="1008"/>
          </w:tcPr>
          <w:p>
            <w:pPr>
              <w:spacing w:line="240" w:lineRule="auto" w:after="20"/>
            </w:pPr>
            <w:r/>
            <w:r>
              <w:rPr>
                <w:sz w:val="16"/>
              </w:rPr>
              <w:t>5.04</w:t>
            </w:r>
          </w:p>
        </w:tc>
        <w:tc>
          <w:tcPr>
            <w:tcW w:type="dxa" w:w="1440"/>
          </w:tcPr>
          <w:p>
            <w:pPr>
              <w:spacing w:line="240" w:lineRule="auto" w:after="20"/>
            </w:pPr>
            <w:r/>
            <w:r>
              <w:rPr>
                <w:sz w:val="16"/>
              </w:rPr>
              <w:t>4.55</w:t>
            </w:r>
          </w:p>
        </w:tc>
        <w:tc>
          <w:tcPr>
            <w:tcW w:type="dxa" w:w="1152"/>
          </w:tcPr>
          <w:p>
            <w:pPr>
              <w:spacing w:line="240" w:lineRule="auto" w:after="20"/>
            </w:pPr>
            <w:r/>
            <w:r>
              <w:rPr>
                <w:sz w:val="16"/>
              </w:rPr>
              <w:t>4.58</w:t>
            </w:r>
          </w:p>
        </w:tc>
        <w:tc>
          <w:tcPr>
            <w:tcW w:type="dxa" w:w="1440"/>
          </w:tcPr>
          <w:p>
            <w:pPr>
              <w:spacing w:line="240" w:lineRule="auto" w:after="20"/>
            </w:pPr>
            <w:r/>
            <w:r>
              <w:rPr>
                <w:sz w:val="16"/>
              </w:rPr>
              <w:t>4.32</w:t>
            </w:r>
          </w:p>
        </w:tc>
      </w:tr>
      <w:tr>
        <w:tc>
          <w:tcPr>
            <w:tcW w:type="dxa" w:w="1152"/>
          </w:tcPr>
          <w:p>
            <w:pPr>
              <w:spacing w:line="240" w:lineRule="auto" w:after="20"/>
            </w:pPr>
            <w:r/>
            <w:r>
              <w:rPr>
                <w:sz w:val="16"/>
              </w:rPr>
              <w:t>200</w:t>
            </w:r>
          </w:p>
        </w:tc>
        <w:tc>
          <w:tcPr>
            <w:tcW w:type="dxa" w:w="864"/>
          </w:tcPr>
          <w:p>
            <w:pPr>
              <w:spacing w:line="240" w:lineRule="auto" w:after="20"/>
            </w:pPr>
            <w:r/>
            <w:r>
              <w:rPr>
                <w:sz w:val="16"/>
              </w:rPr>
              <w:t>0.384</w:t>
            </w:r>
          </w:p>
        </w:tc>
        <w:tc>
          <w:tcPr>
            <w:tcW w:type="dxa" w:w="720"/>
          </w:tcPr>
          <w:p>
            <w:pPr>
              <w:spacing w:line="240" w:lineRule="auto" w:after="20"/>
            </w:pPr>
            <w:r/>
            <w:r>
              <w:rPr>
                <w:sz w:val="16"/>
              </w:rPr>
              <w:t>0.62</w:t>
            </w:r>
          </w:p>
        </w:tc>
        <w:tc>
          <w:tcPr>
            <w:tcW w:type="dxa" w:w="1152"/>
          </w:tcPr>
          <w:p>
            <w:pPr>
              <w:spacing w:line="240" w:lineRule="auto" w:after="20"/>
            </w:pPr>
            <w:r/>
            <w:r>
              <w:rPr>
                <w:sz w:val="16"/>
              </w:rPr>
              <w:t>4.97</w:t>
            </w:r>
          </w:p>
        </w:tc>
        <w:tc>
          <w:tcPr>
            <w:tcW w:type="dxa" w:w="1008"/>
          </w:tcPr>
          <w:p>
            <w:pPr>
              <w:spacing w:line="240" w:lineRule="auto" w:after="20"/>
            </w:pPr>
            <w:r/>
            <w:r>
              <w:rPr>
                <w:sz w:val="16"/>
              </w:rPr>
              <w:t>6.47</w:t>
            </w:r>
          </w:p>
        </w:tc>
        <w:tc>
          <w:tcPr>
            <w:tcW w:type="dxa" w:w="1440"/>
          </w:tcPr>
          <w:p>
            <w:pPr>
              <w:spacing w:line="240" w:lineRule="auto" w:after="20"/>
            </w:pPr>
            <w:r/>
            <w:r>
              <w:rPr>
                <w:sz w:val="16"/>
              </w:rPr>
              <w:t>5.28</w:t>
            </w:r>
          </w:p>
        </w:tc>
        <w:tc>
          <w:tcPr>
            <w:tcW w:type="dxa" w:w="1152"/>
          </w:tcPr>
          <w:p>
            <w:pPr>
              <w:spacing w:line="240" w:lineRule="auto" w:after="20"/>
            </w:pPr>
            <w:r/>
            <w:r>
              <w:rPr>
                <w:sz w:val="16"/>
              </w:rPr>
              <w:t>5.42</w:t>
            </w:r>
          </w:p>
        </w:tc>
        <w:tc>
          <w:tcPr>
            <w:tcW w:type="dxa" w:w="1440"/>
          </w:tcPr>
          <w:p>
            <w:pPr>
              <w:spacing w:line="240" w:lineRule="auto" w:after="20"/>
            </w:pPr>
            <w:r/>
            <w:r>
              <w:rPr>
                <w:sz w:val="16"/>
              </w:rPr>
              <w:t>4.80</w:t>
            </w:r>
          </w:p>
        </w:tc>
      </w:tr>
      <w:tr>
        <w:tc>
          <w:tcPr>
            <w:tcW w:type="dxa" w:w="1152"/>
          </w:tcPr>
          <w:p>
            <w:pPr>
              <w:spacing w:line="240" w:lineRule="auto" w:after="20"/>
            </w:pPr>
            <w:r/>
            <w:r>
              <w:rPr>
                <w:sz w:val="16"/>
              </w:rPr>
              <w:t>250</w:t>
            </w:r>
          </w:p>
        </w:tc>
        <w:tc>
          <w:tcPr>
            <w:tcW w:type="dxa" w:w="864"/>
          </w:tcPr>
          <w:p>
            <w:pPr>
              <w:spacing w:line="240" w:lineRule="auto" w:after="20"/>
            </w:pPr>
            <w:r/>
            <w:r>
              <w:rPr>
                <w:sz w:val="16"/>
              </w:rPr>
              <w:t>0.469</w:t>
            </w:r>
          </w:p>
        </w:tc>
        <w:tc>
          <w:tcPr>
            <w:tcW w:type="dxa" w:w="720"/>
          </w:tcPr>
          <w:p>
            <w:pPr>
              <w:spacing w:line="240" w:lineRule="auto" w:after="20"/>
            </w:pPr>
            <w:r/>
            <w:r>
              <w:rPr>
                <w:sz w:val="16"/>
              </w:rPr>
              <w:t>0.75</w:t>
            </w:r>
          </w:p>
        </w:tc>
        <w:tc>
          <w:tcPr>
            <w:tcW w:type="dxa" w:w="1152"/>
          </w:tcPr>
          <w:p>
            <w:pPr>
              <w:spacing w:line="240" w:lineRule="auto" w:after="20"/>
            </w:pPr>
            <w:r/>
            <w:r>
              <w:rPr>
                <w:sz w:val="16"/>
              </w:rPr>
              <w:t>5.60</w:t>
            </w:r>
          </w:p>
        </w:tc>
        <w:tc>
          <w:tcPr>
            <w:tcW w:type="dxa" w:w="1008"/>
          </w:tcPr>
          <w:p>
            <w:pPr>
              <w:spacing w:line="240" w:lineRule="auto" w:after="20"/>
            </w:pPr>
            <w:r/>
            <w:r>
              <w:rPr>
                <w:sz w:val="16"/>
              </w:rPr>
              <w:t>8.71</w:t>
            </w:r>
          </w:p>
        </w:tc>
        <w:tc>
          <w:tcPr>
            <w:tcW w:type="dxa" w:w="1440"/>
          </w:tcPr>
          <w:p>
            <w:pPr>
              <w:spacing w:line="240" w:lineRule="auto" w:after="20"/>
            </w:pPr>
            <w:r/>
            <w:r>
              <w:rPr>
                <w:sz w:val="16"/>
              </w:rPr>
              <w:t>6.41</w:t>
            </w:r>
          </w:p>
        </w:tc>
        <w:tc>
          <w:tcPr>
            <w:tcW w:type="dxa" w:w="1152"/>
          </w:tcPr>
          <w:p>
            <w:pPr>
              <w:spacing w:line="240" w:lineRule="auto" w:after="20"/>
            </w:pPr>
            <w:r/>
            <w:r>
              <w:rPr>
                <w:sz w:val="16"/>
              </w:rPr>
              <w:t>no steady state</w:t>
            </w:r>
          </w:p>
        </w:tc>
        <w:tc>
          <w:tcPr>
            <w:tcW w:type="dxa" w:w="1440"/>
          </w:tcPr>
          <w:p>
            <w:pPr>
              <w:spacing w:line="240" w:lineRule="auto" w:after="20"/>
            </w:pPr>
            <w:r/>
            <w:r>
              <w:rPr>
                <w:sz w:val="16"/>
              </w:rPr>
              <w:t>5.41</w:t>
            </w:r>
          </w:p>
        </w:tc>
      </w:tr>
    </w:tbl>
    <w:p>
      <w:pPr>
        <w:spacing w:after="40"/>
      </w:pPr>
    </w:p>
    <w:p>
      <w:pPr>
        <w:keepNext w:val="0"/>
        <w:jc w:val="both"/>
      </w:pPr>
      <w:r>
        <w:t>With the shears adding (σ = +1) the gain increases monotonically with torque (Table 7, Figure 7a). For a constant viscosity Q rises from 3.71 at zero torque to 4.07 at 100 N m and 4.97 at 200 N m, which is 10% and 34% above the baseline (3.70); at 200 N m the Mach number is 0.62 and the largest shearing rate ω</w:t>
      </w:r>
      <w:r>
        <w:rPr>
          <w:vertAlign w:val="subscript"/>
        </w:rPr>
        <w:t>E</w:t>
      </w:r>
      <w:r>
        <w:t>/γ</w:t>
      </w:r>
      <w:r>
        <w:rPr>
          <w:vertAlign w:val="subscript"/>
        </w:rPr>
        <w:t>0</w:t>
      </w:r>
      <w:r>
        <w:t xml:space="preserve"> is 0.50. A closure in which the viscosity falls with shear amplifies the effect: for m = 1 (admissible) Q = 6.47 at 200 N m and 8.71 at 250 N m, because the rotation shear grows when the viscosity decreases and the heat closure responds. The inadmissible closure m = 2 has a steady rotation profile up to Θ = 1/2, tracks the other closures up to 200 N m (Q = 5.42) and has none at 250 N m, in line with Proposition 3; with the floor f = 0.20, which is admissible, the steady state exists at every torque (Q = 6.41 at 250 N m). When the shears oppose (σ = −1) the gain is smaller but still increases with torque (Q = 4.80 at 200 N m for a constant viscosity), because in the region where the rotation shear dominates the net shear still grows.</w:t>
      </w:r>
    </w:p>
    <w:p>
      <w:pPr>
        <w:keepNext w:val="0"/>
        <w:jc w:val="both"/>
      </w:pPr>
      <w:r>
        <w:t>Two sensitivities are reported because both parameters are illustrative. At 100 N m with a constant viscosity, Q = 3.73, 3.79, 4.07, 4.69 and 5.88 for s</w:t>
      </w:r>
      <w:r>
        <w:rPr>
          <w:vertAlign w:val="subscript"/>
        </w:rPr>
        <w:t>c</w:t>
      </w:r>
      <w:r>
        <w:t xml:space="preserve"> = 2, 1, 0.5, 0.3 and 0.2, so the dependence on the threshold is steep. At 200 N m with the m = 1 closure, doubling the viscosity multiplier (Pr = 2) lowers Q to 4.23 (Θ</w:t>
      </w:r>
      <w:r>
        <w:rPr>
          <w:vertAlign w:val="subscript"/>
        </w:rPr>
        <w:t>max</w:t>
      </w:r>
      <w:r>
        <w:t xml:space="preserve"> = 0.20); halving it (Pr = 0.5) doubles Θ and no converged steady state of the coupled problem was found, for either m = 1 or m = 2; the coupled fold was not analysed further.</w:t>
      </w:r>
    </w:p>
    <w:p>
      <w:pPr>
        <w:keepNext/>
        <w:spacing w:before="160" w:after="40"/>
        <w:jc w:val="center"/>
      </w:pPr>
      <w:r>
        <w:drawing>
          <wp:inline xmlns:a="http://schemas.openxmlformats.org/drawingml/2006/main" xmlns:pic="http://schemas.openxmlformats.org/drawingml/2006/picture">
            <wp:extent cx="5120640" cy="2092737"/>
            <wp:docPr id="7" name="Picture 7" descr="Two panels of fusion gain against torque for different viscosity closures."/>
            <wp:cNvGraphicFramePr>
              <a:graphicFrameLocks noChangeAspect="1"/>
            </wp:cNvGraphicFramePr>
            <a:graphic>
              <a:graphicData uri="http://schemas.openxmlformats.org/drawingml/2006/picture">
                <pic:pic>
                  <pic:nvPicPr>
                    <pic:cNvPr id="0" name="fig7_coupled.png"/>
                    <pic:cNvPicPr/>
                  </pic:nvPicPr>
                  <pic:blipFill>
                    <a:blip r:embed="rId16"/>
                    <a:stretch>
                      <a:fillRect/>
                    </a:stretch>
                  </pic:blipFill>
                  <pic:spPr>
                    <a:xfrm>
                      <a:off x="0" y="0"/>
                      <a:ext cx="5120640" cy="2092737"/>
                    </a:xfrm>
                    <a:prstGeom prst="rect"/>
                  </pic:spPr>
                </pic:pic>
              </a:graphicData>
            </a:graphic>
          </wp:inline>
        </w:drawing>
      </w:r>
    </w:p>
    <w:p>
      <w:pPr>
        <w:keepNext w:val="0"/>
        <w:spacing w:line="276" w:lineRule="auto" w:after="200"/>
      </w:pPr>
      <w:r>
        <w:rPr>
          <w:b/>
          <w:sz w:val="19"/>
        </w:rPr>
        <w:t>Figure 7.</w:t>
      </w:r>
      <w:r>
        <w:rPr>
          <w:sz w:val="19"/>
        </w:rPr>
        <w:t xml:space="preserve"> Fusion gain against torque with torque-driven shear for four viscosity closures: (a) shears adding (σ = +1) and (b) shears opposing (σ = −1); s</w:t>
      </w:r>
      <w:r>
        <w:rPr>
          <w:sz w:val="19"/>
          <w:vertAlign w:val="subscript"/>
        </w:rPr>
        <w:t>c</w:t>
      </w:r>
      <w:r>
        <w:rPr>
          <w:sz w:val="19"/>
        </w:rPr>
        <w:t xml:space="preserve"> = 0.5, Pr = 1, N = 100. The dotted vertical line marks the torque (250 N m) at which the closure m = 2 has no steady rotation profile.</w:t>
      </w:r>
    </w:p>
    <w:p>
      <w:pPr>
        <w:pStyle w:val="Heading1"/>
      </w:pPr>
      <w:r>
        <w:rPr>
          <w:rFonts w:ascii="Times New Roman" w:hAnsi="Times New Roman"/>
        </w:rPr>
        <w:t>6. Discussion</w:t>
      </w:r>
    </w:p>
    <w:p>
      <w:pPr>
        <w:keepNext w:val="0"/>
        <w:jc w:val="both"/>
      </w:pPr>
      <w:r>
        <w:t>At moderate coupling the answer to the narrow question is negative: with diamagnetic shear alone, a stiff-baseline model gains 0.07% to 0.8% in Q for s</w:t>
      </w:r>
      <w:r>
        <w:rPr>
          <w:vertAlign w:val="subscript"/>
        </w:rPr>
        <w:t>c</w:t>
      </w:r>
      <w:r>
        <w:t xml:space="preserve"> between 1 and 0.3, because the shearing rate is small compared with the decorrelation-rate proxy everywhere (largest value 0.131) and is concentrated at the edge. This is a statement about the closure and parameters used here. The same model shows that this is not the whole story: the gain is a steep function of the threshold, with 12% at s</w:t>
      </w:r>
      <w:r>
        <w:rPr>
          <w:vertAlign w:val="subscript"/>
        </w:rPr>
        <w:t>c</w:t>
      </w:r>
      <w:r>
        <w:t xml:space="preserve"> = 0.1 and a fold at s</w:t>
      </w:r>
      <w:r>
        <w:rPr>
          <w:vertAlign w:val="subscript"/>
        </w:rPr>
        <w:t>c</w:t>
      </w:r>
      <w:r>
        <w:rPr>
          <w:vertAlign w:val="superscript"/>
        </w:rPr>
        <w:t>*</w:t>
      </w:r>
      <w:r>
        <w:t xml:space="preserve"> = 0.047, so that a modest error in a calibrated s</w:t>
      </w:r>
      <w:r>
        <w:rPr>
          <w:vertAlign w:val="subscript"/>
        </w:rPr>
        <w:t>c</w:t>
      </w:r>
      <w:r>
        <w:t xml:space="preserve"> near the fold would change the conclusion qualitatively. The fold is also where the model stops being informative: below it the axis temperature runs through the range in which neither the reactivity fit nor the neglected physics can be trusted.</w:t>
      </w:r>
    </w:p>
    <w:p>
      <w:pPr>
        <w:keepNext w:val="0"/>
        <w:jc w:val="both"/>
      </w:pPr>
      <w:r>
        <w:t>Two further points follow from the momentum part. First, the admissibility conditions are a priori checks that cost nothing: for a given viscosity closure they say whether the rotation profile exists for a given torque number, where it saturates or folds, and whether it can show hysteresis. The tests in Section 5.5 confirm them to a relative error of 4.8×10</w:t>
      </w:r>
      <w:r>
        <w:rPr>
          <w:vertAlign w:val="superscript"/>
        </w:rPr>
        <w:t>−11</w:t>
      </w:r>
      <w:r>
        <w:t>, so they can be used to screen closures before they are put into a transport code. Second, torque-driven shear is a far stronger lever than the diamagnetic shear in this model, but its effect on Q depends on the viscosity closure through a feedback (a viscosity that decreases with shear raises the shear), and it is bounded by the existence of a steady rotation profile, not by the heat equation.</w:t>
      </w:r>
    </w:p>
    <w:p>
      <w:pPr>
        <w:keepNext w:val="0"/>
        <w:jc w:val="both"/>
      </w:pPr>
      <w:r>
        <w:rPr>
          <w:b/>
        </w:rPr>
        <w:t>Limitations.</w:t>
      </w:r>
      <w:r>
        <w:t xml:space="preserve"> (i) One-dimensional energy transport with fixed density, equal ion and electron temperatures and local alpha deposition; no particle, current or impurity evolution. (ii) One-way coupling: the temperature sets γ</w:t>
      </w:r>
      <w:r>
        <w:rPr>
          <w:vertAlign w:val="subscript"/>
        </w:rPr>
        <w:t>0</w:t>
      </w:r>
      <w:r>
        <w:t xml:space="preserve"> for the rotation equation but the rotation does not enter the energy balance except through the shear, and the torque profile and the viscosity multiplier are illustrative. (iii) No ELM, MHD stability or disruption physics, and no magnet or conductor degradation. (iv) The critical-gradient parameters are generic and the baseline is not benchmarked against a confinement scaling such as that of the ITER physics basis (ITER Physics Expert Group on Confinement and Transport et al. 1999). (v) The threshold s</w:t>
      </w:r>
      <w:r>
        <w:rPr>
          <w:vertAlign w:val="subscript"/>
        </w:rPr>
        <w:t>c</w:t>
      </w:r>
      <w:r>
        <w:t xml:space="preserve"> and the sign convention of the rotation shear are not calibrated; no gyrokinetic or experimental data are used. (vi) The reactivity fit is valid to 100 keV and no result above that temperature is interpreted. (vii) The heat closure depends on the second derivative of the temperature, and the shearing rate in the edge cell converges slowly with resolution (the maximum ω</w:t>
      </w:r>
      <w:r>
        <w:rPr>
          <w:vertAlign w:val="subscript"/>
        </w:rPr>
        <w:t>E</w:t>
      </w:r>
      <w:r>
        <w:t>/γ</w:t>
      </w:r>
      <w:r>
        <w:rPr>
          <w:vertAlign w:val="subscript"/>
        </w:rPr>
        <w:t>0</w:t>
      </w:r>
      <w:r>
        <w:t xml:space="preserve"> of the baseline is 0.111, 0.116, 0.119, 0.121 and 0.122 for N = 50 to 800); the fold position is extrapolated in N, not computed in a continuum limit. A claim of improved fusion performance would require a calibrated s</w:t>
      </w:r>
      <w:r>
        <w:rPr>
          <w:vertAlign w:val="subscript"/>
        </w:rPr>
        <w:t>c</w:t>
      </w:r>
      <w:r>
        <w:t>, a self-consistent density and pedestal and validation against experimental or high-fidelity data.</w:t>
      </w:r>
    </w:p>
    <w:p>
      <w:pPr>
        <w:pStyle w:val="Heading1"/>
      </w:pPr>
      <w:r>
        <w:rPr>
          <w:rFonts w:ascii="Times New Roman" w:hAnsi="Times New Roman"/>
        </w:rPr>
        <w:t>7. Conclusions</w:t>
      </w:r>
    </w:p>
    <w:p>
      <w:pPr>
        <w:keepNext w:val="0"/>
        <w:jc w:val="both"/>
      </w:pPr>
      <w:r>
        <w:t>A verified reduced model allows a state-dependent shear-suppression closure to be compared with a stiff critical-gradient baseline at identical inputs. With diamagnetic shear alone the fusion gain changes by 0.27% at s</w:t>
      </w:r>
      <w:r>
        <w:rPr>
          <w:vertAlign w:val="subscript"/>
        </w:rPr>
        <w:t>c</w:t>
      </w:r>
      <w:r>
        <w:t xml:space="preserve"> = 0.5 and 0.8% at s</w:t>
      </w:r>
      <w:r>
        <w:rPr>
          <w:vertAlign w:val="subscript"/>
        </w:rPr>
        <w:t>c</w:t>
      </w:r>
      <w:r>
        <w:t xml:space="preserve"> = 0.3, converging with the grid, but the lower branch of steady states ends in a fold at s</w:t>
      </w:r>
      <w:r>
        <w:rPr>
          <w:vertAlign w:val="subscript"/>
        </w:rPr>
        <w:t>c</w:t>
      </w:r>
      <w:r>
        <w:rPr>
          <w:vertAlign w:val="superscript"/>
        </w:rPr>
        <w:t>*</w:t>
      </w:r>
      <w:r>
        <w:t xml:space="preserve"> = 0.047 (extrapolated in resolution), where Q ≈ 14.7, and no steady state exists below it. For the rotation equation, the steady flux relation reduces existence, saturation, fold and hysteresis to the monotonicity of ΛF(Λ), with closed-form thresholds that direct solutions reproduce. Torque-driven shear adds to the diamagnetic shear and raises Q by 34% at 200 N m for s</w:t>
      </w:r>
      <w:r>
        <w:rPr>
          <w:vertAlign w:val="subscript"/>
        </w:rPr>
        <w:t>c</w:t>
      </w:r>
      <w:r>
        <w:t xml:space="preserve"> = 0.5, subject to the same existence conditions. All results are tested against the full equations of the reduced model; none is tested against experiment, and the parameters are illustrative. Whether state-dependent closures improve burning-plasma performance remains open here: it requires a calibrated threshold and a model of the edge barrier.</w:t>
      </w:r>
    </w:p>
    <w:p>
      <w:pPr>
        <w:pStyle w:val="Heading1"/>
      </w:pPr>
      <w:r>
        <w:rPr>
          <w:rFonts w:ascii="Times New Roman" w:hAnsi="Times New Roman"/>
        </w:rPr>
        <w:t>Funding</w:t>
      </w:r>
    </w:p>
    <w:p>
      <w:pPr>
        <w:keepNext w:val="0"/>
        <w:jc w:val="both"/>
      </w:pPr>
      <w:r>
        <w:t>This research received no specific grant from any funding agency, commercial or not-for-profit sectors.</w:t>
      </w:r>
    </w:p>
    <w:p>
      <w:pPr>
        <w:pStyle w:val="Heading1"/>
      </w:pPr>
      <w:r>
        <w:rPr>
          <w:rFonts w:ascii="Times New Roman" w:hAnsi="Times New Roman"/>
        </w:rPr>
        <w:t>Declaration of interests</w:t>
      </w:r>
    </w:p>
    <w:p>
      <w:pPr>
        <w:keepNext w:val="0"/>
        <w:jc w:val="both"/>
      </w:pPr>
      <w:r>
        <w:t>The author reports no conflict of interest.</w:t>
      </w:r>
    </w:p>
    <w:p>
      <w:pPr>
        <w:pStyle w:val="Heading1"/>
      </w:pPr>
      <w:r>
        <w:rPr>
          <w:rFonts w:ascii="Times New Roman" w:hAnsi="Times New Roman"/>
        </w:rPr>
        <w:t>Data availability statement</w:t>
      </w:r>
    </w:p>
    <w:p>
      <w:pPr>
        <w:keepNext w:val="0"/>
        <w:jc w:val="both"/>
      </w:pPr>
      <w:r>
        <w:t>All data were generated by the code released with this article. The model code, the closed-form module, the tests, the figure scripts, the raw results file (results.json) and the manuscript builder are available at https://github.com/sandlerleon/tokamak-statedependent-closure (release v1.0.0) and are archived on Zenodo at https://doi.org/10.5281/zenodo.23229934 (software, MIT licence). This manuscript is archived as a preprint at https://doi.org/10.5281/zenodo.23229938 (CC BY 4.0). No experimental data were used.</w:t>
      </w:r>
    </w:p>
    <w:p>
      <w:pPr>
        <w:pStyle w:val="Heading1"/>
      </w:pPr>
      <w:r>
        <w:rPr>
          <w:rFonts w:ascii="Times New Roman" w:hAnsi="Times New Roman"/>
        </w:rPr>
        <w:t>Author contributions</w:t>
      </w:r>
    </w:p>
    <w:p>
      <w:pPr>
        <w:keepNext w:val="0"/>
        <w:jc w:val="both"/>
      </w:pPr>
      <w:r>
        <w:t>L.S. is the sole author. L.S. conceived the study, defined the model and the questions addressed, directed the derivations, computations and figures, reviewed and checked the results, wrote and revised the manuscript, and approved the final version.</w:t>
      </w:r>
    </w:p>
    <w:p>
      <w:pPr>
        <w:pStyle w:val="Heading1"/>
      </w:pPr>
      <w:r>
        <w:rPr>
          <w:rFonts w:ascii="Times New Roman" w:hAnsi="Times New Roman"/>
        </w:rPr>
        <w:t>Author ORCID</w:t>
      </w:r>
    </w:p>
    <w:p>
      <w:pPr>
        <w:keepNext w:val="0"/>
        <w:jc w:val="both"/>
      </w:pPr>
      <w:r>
        <w:t>L. Sandler, https://orcid.org/0009-0007-4584-808X.</w:t>
      </w:r>
    </w:p>
    <w:p>
      <w:pPr>
        <w:pStyle w:val="Heading1"/>
      </w:pPr>
      <w:r>
        <w:rPr>
          <w:rFonts w:ascii="Times New Roman" w:hAnsi="Times New Roman"/>
        </w:rPr>
        <w:t>Declaration of the use of artificial intelligence</w:t>
      </w:r>
    </w:p>
    <w:p>
      <w:pPr>
        <w:keepNext w:val="0"/>
        <w:jc w:val="both"/>
      </w:pPr>
      <w:r>
        <w:t>Claude Sonnet 5.5 (Anthropic; model identifier claude-sonnet-5-5), accessed through the Claude Code environment of the Claude desktop application on the author's computer, was used between 7 and 8 October 2026 to write and test the code, to derive and check the closed-form results, to run the numerical experiments, to produce the figures and to draft the text. The author reviewed and edited all content, checked every reference against Crossref, and takes full responsibility for the content of the article. The tool is not an author. Every number in the article is produced by the released scripts.</w:t>
      </w:r>
    </w:p>
    <w:p>
      <w:pPr>
        <w:pStyle w:val="Heading1"/>
      </w:pPr>
      <w:r>
        <w:rPr>
          <w:rFonts w:ascii="Times New Roman" w:hAnsi="Times New Roman"/>
        </w:rPr>
        <w:t>Acknowledgements</w:t>
      </w:r>
    </w:p>
    <w:p>
      <w:pPr>
        <w:keepNext w:val="0"/>
        <w:jc w:val="both"/>
      </w:pPr>
      <w:r>
        <w:t>None.</w:t>
      </w:r>
    </w:p>
    <w:p>
      <w:pPr>
        <w:pStyle w:val="Heading1"/>
      </w:pPr>
      <w:r>
        <w:rPr>
          <w:rFonts w:ascii="Times New Roman" w:hAnsi="Times New Roman"/>
        </w:rPr>
        <w:t>Appendix A. Numerical protocol, tolerances and convergence</w:t>
      </w:r>
    </w:p>
    <w:p>
      <w:pPr>
        <w:keepNext w:val="0"/>
        <w:jc w:val="both"/>
      </w:pPr>
      <w:r>
        <w:rPr>
          <w:i/>
        </w:rPr>
        <w:t>Grid and discretisation.</w:t>
      </w:r>
      <w:r>
        <w:t xml:space="preserve"> N uniform cells in r (N = 50 to 800; N = 100 for the results of Table 4 and Table 7). Face conductivities are arithmetic means of the adjacent cell values; the edge face uses the Dirichlet half cell. The baseline diffusivity uses the central cell gradient (one-sided in the first cell). The shearing rate uses face-centred E</w:t>
      </w:r>
      <w:r>
        <w:rPr>
          <w:vertAlign w:val="subscript"/>
        </w:rPr>
        <w:t>r</w:t>
      </w:r>
      <w:r>
        <w:t>, E</w:t>
      </w:r>
      <w:r>
        <w:rPr>
          <w:vertAlign w:val="subscript"/>
        </w:rPr>
        <w:t>r</w:t>
      </w:r>
      <w:r>
        <w:t xml:space="preserve"> = 0 on the axis, an even extrapolation u</w:t>
      </w:r>
      <w:r>
        <w:rPr>
          <w:vertAlign w:val="subscript"/>
        </w:rPr>
        <w:t>0</w:t>
      </w:r>
      <w:r>
        <w:t xml:space="preserve"> = (4u</w:t>
      </w:r>
      <w:r>
        <w:rPr>
          <w:vertAlign w:val="subscript"/>
        </w:rPr>
        <w:t>1</w:t>
      </w:r>
      <w:r>
        <w:t xml:space="preserve"> − u</w:t>
      </w:r>
      <w:r>
        <w:rPr>
          <w:vertAlign w:val="subscript"/>
        </w:rPr>
        <w:t>2</w:t>
      </w:r>
      <w:r>
        <w:t>)/3 of u = qE</w:t>
      </w:r>
      <w:r>
        <w:rPr>
          <w:vertAlign w:val="subscript"/>
        </w:rPr>
        <w:t>r</w:t>
      </w:r>
      <w:r>
        <w:t>/(rB) to the axis and a half-cell difference to the edge.</w:t>
      </w:r>
    </w:p>
    <w:p>
      <w:pPr>
        <w:keepNext w:val="0"/>
        <w:jc w:val="both"/>
      </w:pPr>
      <w:r>
        <w:rPr>
          <w:i/>
        </w:rPr>
        <w:t>Steady states.</w:t>
      </w:r>
      <w:r>
        <w:t xml:space="preserve"> Damped Newton iteration on the steady residual with a banded (three sub- and three super-diagonals) central-difference Jacobian, relative step 10</w:t>
      </w:r>
      <w:r>
        <w:rPr>
          <w:vertAlign w:val="superscript"/>
        </w:rPr>
        <w:t>−8</w:t>
      </w:r>
      <w:r>
        <w:t>; acceptance when the maximum residual is below 10</w:t>
      </w:r>
      <w:r>
        <w:rPr>
          <w:vertAlign w:val="superscript"/>
        </w:rPr>
        <w:t>−8</w:t>
      </w:r>
      <w:r>
        <w:t xml:space="preserve"> of the volume-averaged heating (the achieved power-balance residuals in Table 3 are far smaller). The baseline is first marched in pseudo-time (backward Euler, initial step 0.05 s, growth factor 1.5, maximum step 50 s) from a parabolic profile; the closure is introduced by natural continuation in s</w:t>
      </w:r>
      <w:r>
        <w:rPr>
          <w:vertAlign w:val="subscript"/>
        </w:rPr>
        <w:t>c</w:t>
      </w:r>
      <w:r>
        <w:t xml:space="preserve"> (steps 4, 2, 1, 0.7, 0.5, 0.4, 0.3, 0.2, 0.15, 0.1, 0.07, 0.05). Pseudo-arclength continuation uses 1/s</w:t>
      </w:r>
      <w:r>
        <w:rPr>
          <w:vertAlign w:val="subscript"/>
        </w:rPr>
        <w:t>c</w:t>
      </w:r>
      <w:r>
        <w:t xml:space="preserve"> as the parameter with a tangent predictor and Newton corrector (dense Jacobian); the fold position is the maximum of 1/s</w:t>
      </w:r>
      <w:r>
        <w:rPr>
          <w:vertAlign w:val="subscript"/>
        </w:rPr>
        <w:t>c</w:t>
      </w:r>
      <w:r>
        <w:t xml:space="preserve"> along the branch, refined by a quadratic fit through three points. Eigenvalues are those of the dense Jacobian divided by 3ne.</w:t>
      </w:r>
    </w:p>
    <w:p>
      <w:pPr>
        <w:keepNext w:val="0"/>
        <w:jc w:val="both"/>
      </w:pPr>
      <w:r>
        <w:rPr>
          <w:i/>
        </w:rPr>
        <w:t>Time integration.</w:t>
      </w:r>
      <w:r>
        <w:t xml:space="preserve"> Radau (rtol = atol = 10</w:t>
      </w:r>
      <w:r>
        <w:rPr>
          <w:vertAlign w:val="superscript"/>
        </w:rPr>
        <w:t>−8</w:t>
      </w:r>
      <w:r>
        <w:t>, sparse Jacobian pattern) of dT/dt = residual/(3ne) from a parabolic cold profile to 80 s; runs near the fold stop when the axis temperature exceeds 150 keV.</w:t>
      </w:r>
    </w:p>
    <w:p>
      <w:pPr>
        <w:keepNext w:val="0"/>
        <w:jc w:val="both"/>
      </w:pPr>
      <w:r>
        <w:rPr>
          <w:i/>
        </w:rPr>
        <w:t>Rotation equation.</w:t>
      </w:r>
      <w:r>
        <w:t xml:space="preserve"> The unknown is scaled by the linear-viscosity solution; Newton iteration (hybrid method) with eight steps of torque continuation from the linear solution; acceptance when the scaled residual is below 10</w:t>
      </w:r>
      <w:r>
        <w:rPr>
          <w:vertAlign w:val="superscript"/>
        </w:rPr>
        <w:t>−8</w:t>
      </w:r>
      <w:r>
        <w:t>. Torque ramps use backward-Euler marching of the rotation equation with the step doubled after every accepted step, starting from the previous state, until the steady residual is below 10</w:t>
      </w:r>
      <w:r>
        <w:rPr>
          <w:vertAlign w:val="superscript"/>
        </w:rPr>
        <w:t>−10</w:t>
      </w:r>
      <w:r>
        <w:t>; runs that do not converge near a fold are reported as not converged.</w:t>
      </w:r>
    </w:p>
    <w:p>
      <w:pPr>
        <w:keepNext w:val="0"/>
        <w:jc w:val="both"/>
      </w:pPr>
      <w:r>
        <w:rPr>
          <w:i/>
        </w:rPr>
        <w:t>Coupled problem.</w:t>
      </w:r>
      <w:r>
        <w:t xml:space="preserve"> Fixed-point iteration between the rotation solve (with the current temperature) and the heat solve (with the current rotation shear), converged when the maximum temperature change is below 10</w:t>
      </w:r>
      <w:r>
        <w:rPr>
          <w:vertAlign w:val="superscript"/>
        </w:rPr>
        <w:t>−7</w:t>
      </w:r>
      <w:r>
        <w:t xml:space="preserve"> keV.</w:t>
      </w:r>
    </w:p>
    <w:p>
      <w:pPr>
        <w:keepNext w:val="0"/>
        <w:jc w:val="both"/>
      </w:pPr>
      <w:r>
        <w:rPr>
          <w:i/>
        </w:rPr>
        <w:t>Software.</w:t>
      </w:r>
      <w:r>
        <w:t xml:space="preserve"> Python 3.11.9, NumPy 2.4.6, SciPy 1.17.1; release v1.0.0 of the repository contains the exact scripts and results.json. The reproduction script runs in about ten minutes and uses no random numbers.</w:t>
      </w:r>
    </w:p>
    <w:p>
      <w:pPr>
        <w:pStyle w:val="Heading1"/>
      </w:pPr>
      <w:r>
        <w:rPr>
          <w:rFonts w:ascii="Times New Roman" w:hAnsi="Times New Roman"/>
        </w:rPr>
        <w:t>Appendix B. Proofs</w:t>
      </w:r>
    </w:p>
    <w:p>
      <w:pPr>
        <w:keepNext w:val="0"/>
        <w:jc w:val="both"/>
      </w:pPr>
      <w:r>
        <w:rPr>
          <w:i/>
        </w:rPr>
        <w:t>Proof of Proposition 1.</w:t>
      </w:r>
      <w:r>
        <w:t xml:space="preserve"> In steady state Eq. (5) gives (1/r)∂</w:t>
      </w:r>
      <w:r>
        <w:rPr>
          <w:vertAlign w:val="subscript"/>
        </w:rPr>
        <w:t>r</w:t>
      </w:r>
      <w:r>
        <w:t>(rG) = −τ</w:t>
      </w:r>
      <w:r>
        <w:rPr>
          <w:vertAlign w:val="subscript"/>
        </w:rPr>
        <w:t>in</w:t>
      </w:r>
      <w:r>
        <w:t xml:space="preserve"> with G = μ</w:t>
      </w:r>
      <w:r>
        <w:rPr>
          <w:vertAlign w:val="subscript"/>
        </w:rPr>
        <w:t>eff</w:t>
      </w:r>
      <w:r>
        <w:t>R</w:t>
      </w:r>
      <w:r>
        <w:rPr>
          <w:vertAlign w:val="subscript"/>
        </w:rPr>
        <w:t>0</w:t>
      </w:r>
      <w:r>
        <w:t>²∂</w:t>
      </w:r>
      <w:r>
        <w:rPr>
          <w:vertAlign w:val="subscript"/>
        </w:rPr>
        <w:t>r</w:t>
      </w:r>
      <w:r>
        <w:t>Ω. Integrating from the axis, where rG vanishes by regularity, gives rG(r) = −I(r) with I = ∫</w:t>
      </w:r>
      <w:r>
        <w:rPr>
          <w:vertAlign w:val="subscript"/>
        </w:rPr>
        <w:t>0</w:t>
      </w:r>
      <w:r>
        <w:rPr>
          <w:vertAlign w:val="superscript"/>
        </w:rPr>
        <w:t>r</w:t>
      </w:r>
      <w:r>
        <w:t>τ</w:t>
      </w:r>
      <w:r>
        <w:rPr>
          <w:vertAlign w:val="subscript"/>
        </w:rPr>
        <w:t>in</w:t>
      </w:r>
      <w:r>
        <w:t>r′dr′. Hence μ</w:t>
      </w:r>
      <w:r>
        <w:rPr>
          <w:vertAlign w:val="subscript"/>
        </w:rPr>
        <w:t>0</w:t>
      </w:r>
      <w:r>
        <w:t>R</w:t>
      </w:r>
      <w:r>
        <w:rPr>
          <w:vertAlign w:val="subscript"/>
        </w:rPr>
        <w:t>0</w:t>
      </w:r>
      <w:r>
        <w:t>²F(Λ)|∂</w:t>
      </w:r>
      <w:r>
        <w:rPr>
          <w:vertAlign w:val="subscript"/>
        </w:rPr>
        <w:t>r</w:t>
      </w:r>
      <w:r>
        <w:t>Ω| = I/r. With Λ = κ|∂</w:t>
      </w:r>
      <w:r>
        <w:rPr>
          <w:vertAlign w:val="subscript"/>
        </w:rPr>
        <w:t>r</w:t>
      </w:r>
      <w:r>
        <w:t>Ω| and κ = r/(qγ</w:t>
      </w:r>
      <w:r>
        <w:rPr>
          <w:vertAlign w:val="subscript"/>
        </w:rPr>
        <w:t>0</w:t>
      </w:r>
      <w:r>
        <w:t>) we have |∂</w:t>
      </w:r>
      <w:r>
        <w:rPr>
          <w:vertAlign w:val="subscript"/>
        </w:rPr>
        <w:t>r</w:t>
      </w:r>
      <w:r>
        <w:t>Ω| = Λ/κ and F(Λ)Λ = Iκ/(rμ</w:t>
      </w:r>
      <w:r>
        <w:rPr>
          <w:vertAlign w:val="subscript"/>
        </w:rPr>
        <w:t>0</w:t>
      </w:r>
      <w:r>
        <w:t>R</w:t>
      </w:r>
      <w:r>
        <w:rPr>
          <w:vertAlign w:val="subscript"/>
        </w:rPr>
        <w:t>0</w:t>
      </w:r>
      <w:r>
        <w:t>²) = I/(qγ</w:t>
      </w:r>
      <w:r>
        <w:rPr>
          <w:vertAlign w:val="subscript"/>
        </w:rPr>
        <w:t>0</w:t>
      </w:r>
      <w:r>
        <w:t>μ</w:t>
      </w:r>
      <w:r>
        <w:rPr>
          <w:vertAlign w:val="subscript"/>
        </w:rPr>
        <w:t>0</w:t>
      </w:r>
      <w:r>
        <w:t>R</w:t>
      </w:r>
      <w:r>
        <w:rPr>
          <w:vertAlign w:val="subscript"/>
        </w:rPr>
        <w:t>0</w:t>
      </w:r>
      <w:r>
        <w:t>²) = Θ. The total torque is ∫τ</w:t>
      </w:r>
      <w:r>
        <w:rPr>
          <w:vertAlign w:val="subscript"/>
        </w:rPr>
        <w:t>in</w:t>
      </w:r>
      <w:r>
        <w:t>dV = 4π²R</w:t>
      </w:r>
      <w:r>
        <w:rPr>
          <w:vertAlign w:val="subscript"/>
        </w:rPr>
        <w:t>0</w:t>
      </w:r>
      <w:r>
        <w:t>I(a). ∎</w:t>
      </w:r>
    </w:p>
    <w:p>
      <w:pPr>
        <w:keepNext w:val="0"/>
        <w:jc w:val="both"/>
      </w:pPr>
      <w:r>
        <w:rPr>
          <w:i/>
        </w:rPr>
        <w:t>Proof of Proposition 2.</w:t>
      </w:r>
      <w:r>
        <w:t xml:space="preserve"> (a) Ψ′ = F + ΛF′ = F(1 + d ln F/d ln Λ), and F &gt; 0. (b) If Ψ is strictly increasing and continuous with Ψ(0) = 0 and Ψ(Λ) → Ψ</w:t>
      </w:r>
      <w:r>
        <w:rPr>
          <w:vertAlign w:val="subscript"/>
        </w:rPr>
        <w:t>∞</w:t>
      </w:r>
      <w:r>
        <w:t>, the equation Ψ(Λ) = Θ has exactly one solution for 0 ≤ Θ &lt; Ψ</w:t>
      </w:r>
      <w:r>
        <w:rPr>
          <w:vertAlign w:val="subscript"/>
        </w:rPr>
        <w:t>∞</w:t>
      </w:r>
      <w:r>
        <w:t xml:space="preserve"> and none otherwise. (c) If Ψ increases to Ψ</w:t>
      </w:r>
      <w:r>
        <w:rPr>
          <w:vertAlign w:val="subscript"/>
        </w:rPr>
        <w:t>M</w:t>
      </w:r>
      <w:r>
        <w:t xml:space="preserve"> at Λ</w:t>
      </w:r>
      <w:r>
        <w:rPr>
          <w:vertAlign w:val="subscript"/>
        </w:rPr>
        <w:t>M</w:t>
      </w:r>
      <w:r>
        <w:t>, decreases to Ψ</w:t>
      </w:r>
      <w:r>
        <w:rPr>
          <w:vertAlign w:val="subscript"/>
        </w:rPr>
        <w:t>m</w:t>
      </w:r>
      <w:r>
        <w:t xml:space="preserve"> at Λ</w:t>
      </w:r>
      <w:r>
        <w:rPr>
          <w:vertAlign w:val="subscript"/>
        </w:rPr>
        <w:t>m</w:t>
      </w:r>
      <w:r>
        <w:t xml:space="preserve"> and increases again, the equation has three solutions for Ψ</w:t>
      </w:r>
      <w:r>
        <w:rPr>
          <w:vertAlign w:val="subscript"/>
        </w:rPr>
        <w:t>m</w:t>
      </w:r>
      <w:r>
        <w:t xml:space="preserve"> &lt; Θ &lt; Ψ</w:t>
      </w:r>
      <w:r>
        <w:rPr>
          <w:vertAlign w:val="subscript"/>
        </w:rPr>
        <w:t>M</w:t>
      </w:r>
      <w:r>
        <w:t>, one for Θ &lt; Ψ</w:t>
      </w:r>
      <w:r>
        <w:rPr>
          <w:vertAlign w:val="subscript"/>
        </w:rPr>
        <w:t>m</w:t>
      </w:r>
      <w:r>
        <w:t>, and one (on the upper branch) for Θ &gt; Ψ</w:t>
      </w:r>
      <w:r>
        <w:rPr>
          <w:vertAlign w:val="subscript"/>
        </w:rPr>
        <w:t>M</w:t>
      </w:r>
      <w:r>
        <w:t>. The branch from Λ = 0 is continuous in Θ until Θ = Ψ</w:t>
      </w:r>
      <w:r>
        <w:rPr>
          <w:vertAlign w:val="subscript"/>
        </w:rPr>
        <w:t>M</w:t>
      </w:r>
      <w:r>
        <w:t>, where it ends; a state on the upper branch is continuous until Θ = Ψ</w:t>
      </w:r>
      <w:r>
        <w:rPr>
          <w:vertAlign w:val="subscript"/>
        </w:rPr>
        <w:t>m</w:t>
      </w:r>
      <w:r>
        <w:t>. Since the steady relation is algebraic at each radius, the jump occurs at the first radius at which Θ(r) reaches the critical value, and Θ</w:t>
      </w:r>
      <w:r>
        <w:rPr>
          <w:vertAlign w:val="subscript"/>
        </w:rPr>
        <w:t>max</w:t>
      </w:r>
      <w:r>
        <w:t xml:space="preserve"> = θ′T</w:t>
      </w:r>
      <w:r>
        <w:rPr>
          <w:vertAlign w:val="subscript"/>
        </w:rPr>
        <w:t>tot</w:t>
      </w:r>
      <w:r>
        <w:t xml:space="preserve"> because Θ is linear in the torque. ∎</w:t>
      </w:r>
    </w:p>
    <w:p>
      <w:pPr>
        <w:keepNext w:val="0"/>
        <w:jc w:val="both"/>
      </w:pPr>
      <w:r>
        <w:rPr>
          <w:i/>
        </w:rPr>
        <w:t>Proof of Proposition 3.</w:t>
      </w:r>
      <w:r>
        <w:t xml:space="preserve"> (i) d ln F/d ln Λ = −mΛ</w:t>
      </w:r>
      <w:r>
        <w:rPr>
          <w:vertAlign w:val="superscript"/>
        </w:rPr>
        <w:t>m</w:t>
      </w:r>
      <w:r>
        <w:t>/(1 + Λ</w:t>
      </w:r>
      <w:r>
        <w:rPr>
          <w:vertAlign w:val="superscript"/>
        </w:rPr>
        <w:t>m</w:t>
      </w:r>
      <w:r>
        <w:t>), which decreases monotonically from 0 to −m and stays above −1 for all Λ if and only if m ≤ 1. For m &gt; 1, Ψ′ = (1 + Λ</w:t>
      </w:r>
      <w:r>
        <w:rPr>
          <w:vertAlign w:val="superscript"/>
        </w:rPr>
        <w:t>m</w:t>
      </w:r>
      <w:r>
        <w:t xml:space="preserve"> − mΛ</w:t>
      </w:r>
      <w:r>
        <w:rPr>
          <w:vertAlign w:val="superscript"/>
        </w:rPr>
        <w:t>m</w:t>
      </w:r>
      <w:r>
        <w:t>)/(1 + Λ</w:t>
      </w:r>
      <w:r>
        <w:rPr>
          <w:vertAlign w:val="superscript"/>
        </w:rPr>
        <w:t>m</w:t>
      </w:r>
      <w:r>
        <w:t>)² = 0 at (Λ</w:t>
      </w:r>
      <w:r>
        <w:rPr>
          <w:vertAlign w:val="superscript"/>
        </w:rPr>
        <w:t>*</w:t>
      </w:r>
      <w:r>
        <w:t>)</w:t>
      </w:r>
      <w:r>
        <w:rPr>
          <w:vertAlign w:val="superscript"/>
        </w:rPr>
        <w:t>m</w:t>
      </w:r>
      <w:r>
        <w:t xml:space="preserve"> = 1/(m − 1), where F = 1/m and Ψ = Λ</w:t>
      </w:r>
      <w:r>
        <w:rPr>
          <w:vertAlign w:val="superscript"/>
        </w:rPr>
        <w:t>*</w:t>
      </w:r>
      <w:r>
        <w:t>/m; for m = 2, Λ</w:t>
      </w:r>
      <w:r>
        <w:rPr>
          <w:vertAlign w:val="superscript"/>
        </w:rPr>
        <w:t>*</w:t>
      </w:r>
      <w:r>
        <w:t xml:space="preserve"> = 1 and Ψ = 1/2; for m = 1, Ψ = Λ/(1 + Λ) → 1. (ii) With F = f + (1 − f)/(1 + Λ²), Ψ′ = f + (1 − f)g(x), g(x) = (1 − x)/(1 + x)², x = Λ² ≥ 0. Then g′(x) = (x − 3)/(1 + x)³, so g has its minimum at x = 3, g = −1/8, and Ψ′ &gt; 0 for all Λ if and only if f − (1 − f)/8 &gt; 0, i.e. f &gt; 1/9. (iii) With F = f + (1 − f)e</w:t>
      </w:r>
      <w:r>
        <w:rPr>
          <w:vertAlign w:val="superscript"/>
        </w:rPr>
        <w:t>−αΛ²</w:t>
      </w:r>
      <w:r>
        <w:t>, Ψ′ = f + (1 − f)(1 − 2x)e</w:t>
      </w:r>
      <w:r>
        <w:rPr>
          <w:vertAlign w:val="superscript"/>
        </w:rPr>
        <w:t>−x</w:t>
      </w:r>
      <w:r>
        <w:t xml:space="preserve"> with x = αΛ². The function h(x) = (1 − 2x)e</w:t>
      </w:r>
      <w:r>
        <w:rPr>
          <w:vertAlign w:val="superscript"/>
        </w:rPr>
        <w:t>−x</w:t>
      </w:r>
      <w:r>
        <w:t xml:space="preserve"> has h′ = (2x − 3)e</w:t>
      </w:r>
      <w:r>
        <w:rPr>
          <w:vertAlign w:val="superscript"/>
        </w:rPr>
        <w:t>−x</w:t>
      </w:r>
      <w:r>
        <w:t>, a minimum at x = 3/2 equal to −2e</w:t>
      </w:r>
      <w:r>
        <w:rPr>
          <w:vertAlign w:val="superscript"/>
        </w:rPr>
        <w:t>−3/2</w:t>
      </w:r>
      <w:r>
        <w:t xml:space="preserve"> = −0.4463, so Ψ′ &gt; 0 if and only if f &gt; 0.4463(1 − f), i.e. f &gt; 0.3086, independent of α. For f = 0, Ψ has its maximum at Λ = (2α)</w:t>
      </w:r>
      <w:r>
        <w:rPr>
          <w:vertAlign w:val="superscript"/>
        </w:rPr>
        <w:t>−1/2</w:t>
      </w:r>
      <w:r>
        <w:t xml:space="preserve"> with Ψ = (2αe)</w:t>
      </w:r>
      <w:r>
        <w:rPr>
          <w:vertAlign w:val="superscript"/>
        </w:rPr>
        <w:t>−1/2</w:t>
      </w:r>
      <w:r>
        <w:t>. ∎</w:t>
      </w:r>
    </w:p>
    <w:p>
      <w:pPr>
        <w:pStyle w:val="Heading1"/>
      </w:pPr>
      <w:r>
        <w:rPr>
          <w:rFonts w:ascii="Times New Roman" w:hAnsi="Times New Roman"/>
        </w:rPr>
        <w:t>Appendix C. Reproduction and file manifest</w:t>
      </w:r>
    </w:p>
    <w:p>
      <w:pPr>
        <w:keepNext w:val="0"/>
        <w:jc w:val="both"/>
      </w:pPr>
      <w:r>
        <w:t>The repository contains: code/model.py (energy balance, closures, steady and pseudo-time solvers), stability.py (Newton steady states, Jacobian, leading eigenvalue), arclength.py (pseudo-arclength continuation), momentum.py (rotation equation), coupled.py (one-way coupling), theory.py (closed forms of Section 3), reproduce.py (every number in the article, about ten minutes, writes results.json), tests.py (38 checks, about three minutes), figures.py, the reference harvest refs/build_refs.py (Crossref) and the builders of this manuscript and its cover letter. Running reproduce.py, tests.py and figures.py regenerates results.json and the figures. Table 8 lists the files and the first 16 hexadecimal digits of their SHA-256 checksums at release v1.0.0.</w:t>
      </w:r>
    </w:p>
    <w:p>
      <w:pPr>
        <w:keepNext/>
        <w:spacing w:line="276" w:lineRule="auto" w:after="200"/>
      </w:pPr>
      <w:r>
        <w:rPr>
          <w:b/>
          <w:sz w:val="19"/>
        </w:rPr>
        <w:t>Table 8.</w:t>
      </w:r>
      <w:r>
        <w:rPr>
          <w:sz w:val="19"/>
        </w:rPr>
        <w:t xml:space="preserve"> File manifest.</w:t>
      </w:r>
    </w:p>
    <w:tbl>
      <w:tblPr>
        <w:tblStyle w:val="TableGrid"/>
        <w:tblW w:type="auto" w:w="0"/>
        <w:jc w:val="center"/>
        <w:tblLayout w:type="fixed"/>
        <w:tblLook w:firstColumn="1" w:firstRow="1" w:lastColumn="0" w:lastRow="0" w:noHBand="0" w:noVBand="1" w:val="04A0"/>
      </w:tblPr>
      <w:tblGrid>
        <w:gridCol w:w="4608"/>
        <w:gridCol w:w="3168"/>
      </w:tblGrid>
      <w:tr>
        <w:trPr>
          <w:tblHeader w:val="true"/>
        </w:trPr>
        <w:tc>
          <w:tcPr>
            <w:tcW w:type="dxa" w:w="4608"/>
            <w:shd w:val="clear" w:color="auto" w:fill="E7ECF1"/>
          </w:tcPr>
          <w:p>
            <w:pPr>
              <w:spacing w:line="240" w:lineRule="auto" w:after="20"/>
            </w:pPr>
            <w:r/>
            <w:r>
              <w:rPr>
                <w:b/>
                <w:sz w:val="16"/>
              </w:rPr>
              <w:t>File</w:t>
            </w:r>
          </w:p>
        </w:tc>
        <w:tc>
          <w:tcPr>
            <w:tcW w:type="dxa" w:w="3168"/>
            <w:shd w:val="clear" w:color="auto" w:fill="E7ECF1"/>
          </w:tcPr>
          <w:p>
            <w:pPr>
              <w:spacing w:line="240" w:lineRule="auto" w:after="20"/>
            </w:pPr>
            <w:r/>
            <w:r>
              <w:rPr>
                <w:b/>
                <w:sz w:val="16"/>
              </w:rPr>
              <w:t>SHA-256 (first 16 hex digits)</w:t>
            </w:r>
          </w:p>
        </w:tc>
      </w:tr>
      <w:tr>
        <w:tc>
          <w:tcPr>
            <w:tcW w:type="dxa" w:w="4608"/>
          </w:tcPr>
          <w:p>
            <w:pPr>
              <w:spacing w:line="240" w:lineRule="auto" w:after="20"/>
            </w:pPr>
            <w:r/>
            <w:r>
              <w:rPr>
                <w:sz w:val="16"/>
              </w:rPr>
              <w:t>code/model.py</w:t>
            </w:r>
          </w:p>
        </w:tc>
        <w:tc>
          <w:tcPr>
            <w:tcW w:type="dxa" w:w="3168"/>
          </w:tcPr>
          <w:p>
            <w:pPr>
              <w:spacing w:line="240" w:lineRule="auto" w:after="20"/>
            </w:pPr>
            <w:r/>
            <w:r>
              <w:rPr>
                <w:sz w:val="16"/>
              </w:rPr>
              <w:t>d81ad3f8a8b56018…</w:t>
            </w:r>
          </w:p>
        </w:tc>
      </w:tr>
      <w:tr>
        <w:tc>
          <w:tcPr>
            <w:tcW w:type="dxa" w:w="4608"/>
          </w:tcPr>
          <w:p>
            <w:pPr>
              <w:spacing w:line="240" w:lineRule="auto" w:after="20"/>
            </w:pPr>
            <w:r/>
            <w:r>
              <w:rPr>
                <w:sz w:val="16"/>
              </w:rPr>
              <w:t>code/stability.py</w:t>
            </w:r>
          </w:p>
        </w:tc>
        <w:tc>
          <w:tcPr>
            <w:tcW w:type="dxa" w:w="3168"/>
          </w:tcPr>
          <w:p>
            <w:pPr>
              <w:spacing w:line="240" w:lineRule="auto" w:after="20"/>
            </w:pPr>
            <w:r/>
            <w:r>
              <w:rPr>
                <w:sz w:val="16"/>
              </w:rPr>
              <w:t>bde7f32cb4349a3e…</w:t>
            </w:r>
          </w:p>
        </w:tc>
      </w:tr>
      <w:tr>
        <w:tc>
          <w:tcPr>
            <w:tcW w:type="dxa" w:w="4608"/>
          </w:tcPr>
          <w:p>
            <w:pPr>
              <w:spacing w:line="240" w:lineRule="auto" w:after="20"/>
            </w:pPr>
            <w:r/>
            <w:r>
              <w:rPr>
                <w:sz w:val="16"/>
              </w:rPr>
              <w:t>code/arclength.py</w:t>
            </w:r>
          </w:p>
        </w:tc>
        <w:tc>
          <w:tcPr>
            <w:tcW w:type="dxa" w:w="3168"/>
          </w:tcPr>
          <w:p>
            <w:pPr>
              <w:spacing w:line="240" w:lineRule="auto" w:after="20"/>
            </w:pPr>
            <w:r/>
            <w:r>
              <w:rPr>
                <w:sz w:val="16"/>
              </w:rPr>
              <w:t>75e38dbed4bfb751…</w:t>
            </w:r>
          </w:p>
        </w:tc>
      </w:tr>
      <w:tr>
        <w:tc>
          <w:tcPr>
            <w:tcW w:type="dxa" w:w="4608"/>
          </w:tcPr>
          <w:p>
            <w:pPr>
              <w:spacing w:line="240" w:lineRule="auto" w:after="20"/>
            </w:pPr>
            <w:r/>
            <w:r>
              <w:rPr>
                <w:sz w:val="16"/>
              </w:rPr>
              <w:t>code/momentum.py</w:t>
            </w:r>
          </w:p>
        </w:tc>
        <w:tc>
          <w:tcPr>
            <w:tcW w:type="dxa" w:w="3168"/>
          </w:tcPr>
          <w:p>
            <w:pPr>
              <w:spacing w:line="240" w:lineRule="auto" w:after="20"/>
            </w:pPr>
            <w:r/>
            <w:r>
              <w:rPr>
                <w:sz w:val="16"/>
              </w:rPr>
              <w:t>57957a0a80d58b34…</w:t>
            </w:r>
          </w:p>
        </w:tc>
      </w:tr>
      <w:tr>
        <w:tc>
          <w:tcPr>
            <w:tcW w:type="dxa" w:w="4608"/>
          </w:tcPr>
          <w:p>
            <w:pPr>
              <w:spacing w:line="240" w:lineRule="auto" w:after="20"/>
            </w:pPr>
            <w:r/>
            <w:r>
              <w:rPr>
                <w:sz w:val="16"/>
              </w:rPr>
              <w:t>code/coupled.py</w:t>
            </w:r>
          </w:p>
        </w:tc>
        <w:tc>
          <w:tcPr>
            <w:tcW w:type="dxa" w:w="3168"/>
          </w:tcPr>
          <w:p>
            <w:pPr>
              <w:spacing w:line="240" w:lineRule="auto" w:after="20"/>
            </w:pPr>
            <w:r/>
            <w:r>
              <w:rPr>
                <w:sz w:val="16"/>
              </w:rPr>
              <w:t>c770666d75668059…</w:t>
            </w:r>
          </w:p>
        </w:tc>
      </w:tr>
      <w:tr>
        <w:tc>
          <w:tcPr>
            <w:tcW w:type="dxa" w:w="4608"/>
          </w:tcPr>
          <w:p>
            <w:pPr>
              <w:spacing w:line="240" w:lineRule="auto" w:after="20"/>
            </w:pPr>
            <w:r/>
            <w:r>
              <w:rPr>
                <w:sz w:val="16"/>
              </w:rPr>
              <w:t>code/theory.py</w:t>
            </w:r>
          </w:p>
        </w:tc>
        <w:tc>
          <w:tcPr>
            <w:tcW w:type="dxa" w:w="3168"/>
          </w:tcPr>
          <w:p>
            <w:pPr>
              <w:spacing w:line="240" w:lineRule="auto" w:after="20"/>
            </w:pPr>
            <w:r/>
            <w:r>
              <w:rPr>
                <w:sz w:val="16"/>
              </w:rPr>
              <w:t>da498cb934d03489…</w:t>
            </w:r>
          </w:p>
        </w:tc>
      </w:tr>
      <w:tr>
        <w:tc>
          <w:tcPr>
            <w:tcW w:type="dxa" w:w="4608"/>
          </w:tcPr>
          <w:p>
            <w:pPr>
              <w:spacing w:line="240" w:lineRule="auto" w:after="20"/>
            </w:pPr>
            <w:r/>
            <w:r>
              <w:rPr>
                <w:sz w:val="16"/>
              </w:rPr>
              <w:t>code/reproduce.py</w:t>
            </w:r>
          </w:p>
        </w:tc>
        <w:tc>
          <w:tcPr>
            <w:tcW w:type="dxa" w:w="3168"/>
          </w:tcPr>
          <w:p>
            <w:pPr>
              <w:spacing w:line="240" w:lineRule="auto" w:after="20"/>
            </w:pPr>
            <w:r/>
            <w:r>
              <w:rPr>
                <w:sz w:val="16"/>
              </w:rPr>
              <w:t>c568d282789259a4…</w:t>
            </w:r>
          </w:p>
        </w:tc>
      </w:tr>
      <w:tr>
        <w:tc>
          <w:tcPr>
            <w:tcW w:type="dxa" w:w="4608"/>
          </w:tcPr>
          <w:p>
            <w:pPr>
              <w:spacing w:line="240" w:lineRule="auto" w:after="20"/>
            </w:pPr>
            <w:r/>
            <w:r>
              <w:rPr>
                <w:sz w:val="16"/>
              </w:rPr>
              <w:t>code/tests.py</w:t>
            </w:r>
          </w:p>
        </w:tc>
        <w:tc>
          <w:tcPr>
            <w:tcW w:type="dxa" w:w="3168"/>
          </w:tcPr>
          <w:p>
            <w:pPr>
              <w:spacing w:line="240" w:lineRule="auto" w:after="20"/>
            </w:pPr>
            <w:r/>
            <w:r>
              <w:rPr>
                <w:sz w:val="16"/>
              </w:rPr>
              <w:t>5c07a7b3d3ad07ca…</w:t>
            </w:r>
          </w:p>
        </w:tc>
      </w:tr>
      <w:tr>
        <w:tc>
          <w:tcPr>
            <w:tcW w:type="dxa" w:w="4608"/>
          </w:tcPr>
          <w:p>
            <w:pPr>
              <w:spacing w:line="240" w:lineRule="auto" w:after="20"/>
            </w:pPr>
            <w:r/>
            <w:r>
              <w:rPr>
                <w:sz w:val="16"/>
              </w:rPr>
              <w:t>code/figures.py</w:t>
            </w:r>
          </w:p>
        </w:tc>
        <w:tc>
          <w:tcPr>
            <w:tcW w:type="dxa" w:w="3168"/>
          </w:tcPr>
          <w:p>
            <w:pPr>
              <w:spacing w:line="240" w:lineRule="auto" w:after="20"/>
            </w:pPr>
            <w:r/>
            <w:r>
              <w:rPr>
                <w:sz w:val="16"/>
              </w:rPr>
              <w:t>55d3769e0527c680…</w:t>
            </w:r>
          </w:p>
        </w:tc>
      </w:tr>
      <w:tr>
        <w:tc>
          <w:tcPr>
            <w:tcW w:type="dxa" w:w="4608"/>
          </w:tcPr>
          <w:p>
            <w:pPr>
              <w:spacing w:line="240" w:lineRule="auto" w:after="20"/>
            </w:pPr>
            <w:r/>
            <w:r>
              <w:rPr>
                <w:sz w:val="16"/>
              </w:rPr>
              <w:t>refs/build_refs.py</w:t>
            </w:r>
          </w:p>
        </w:tc>
        <w:tc>
          <w:tcPr>
            <w:tcW w:type="dxa" w:w="3168"/>
          </w:tcPr>
          <w:p>
            <w:pPr>
              <w:spacing w:line="240" w:lineRule="auto" w:after="20"/>
            </w:pPr>
            <w:r/>
            <w:r>
              <w:rPr>
                <w:sz w:val="16"/>
              </w:rPr>
              <w:t>225e71bee479fa6f…</w:t>
            </w:r>
          </w:p>
        </w:tc>
      </w:tr>
      <w:tr>
        <w:tc>
          <w:tcPr>
            <w:tcW w:type="dxa" w:w="4608"/>
          </w:tcPr>
          <w:p>
            <w:pPr>
              <w:spacing w:line="240" w:lineRule="auto" w:after="20"/>
            </w:pPr>
            <w:r/>
            <w:r>
              <w:rPr>
                <w:sz w:val="16"/>
              </w:rPr>
              <w:t>results.json</w:t>
            </w:r>
          </w:p>
        </w:tc>
        <w:tc>
          <w:tcPr>
            <w:tcW w:type="dxa" w:w="3168"/>
          </w:tcPr>
          <w:p>
            <w:pPr>
              <w:spacing w:line="240" w:lineRule="auto" w:after="20"/>
            </w:pPr>
            <w:r/>
            <w:r>
              <w:rPr>
                <w:sz w:val="16"/>
              </w:rPr>
              <w:t>ad4f2a453839ea84…</w:t>
            </w:r>
          </w:p>
        </w:tc>
      </w:tr>
      <w:tr>
        <w:tc>
          <w:tcPr>
            <w:tcW w:type="dxa" w:w="4608"/>
          </w:tcPr>
          <w:p>
            <w:pPr>
              <w:spacing w:line="240" w:lineRule="auto" w:after="20"/>
            </w:pPr>
            <w:r/>
            <w:r>
              <w:rPr>
                <w:sz w:val="16"/>
              </w:rPr>
              <w:t>requirements.txt</w:t>
            </w:r>
          </w:p>
        </w:tc>
        <w:tc>
          <w:tcPr>
            <w:tcW w:type="dxa" w:w="3168"/>
          </w:tcPr>
          <w:p>
            <w:pPr>
              <w:spacing w:line="240" w:lineRule="auto" w:after="20"/>
            </w:pPr>
            <w:r/>
            <w:r>
              <w:rPr>
                <w:sz w:val="16"/>
              </w:rPr>
              <w:t>6377368e2a7d6230…</w:t>
            </w:r>
          </w:p>
        </w:tc>
      </w:tr>
      <w:tr>
        <w:tc>
          <w:tcPr>
            <w:tcW w:type="dxa" w:w="4608"/>
          </w:tcPr>
          <w:p>
            <w:pPr>
              <w:spacing w:line="240" w:lineRule="auto" w:after="20"/>
            </w:pPr>
            <w:r/>
            <w:r>
              <w:rPr>
                <w:sz w:val="16"/>
              </w:rPr>
              <w:t>LICENSE</w:t>
            </w:r>
          </w:p>
        </w:tc>
        <w:tc>
          <w:tcPr>
            <w:tcW w:type="dxa" w:w="3168"/>
          </w:tcPr>
          <w:p>
            <w:pPr>
              <w:spacing w:line="240" w:lineRule="auto" w:after="20"/>
            </w:pPr>
            <w:r/>
            <w:r>
              <w:rPr>
                <w:sz w:val="16"/>
              </w:rPr>
              <w:t>c9c53f85a70adf9f…</w:t>
            </w:r>
          </w:p>
        </w:tc>
      </w:tr>
      <w:tr>
        <w:tc>
          <w:tcPr>
            <w:tcW w:type="dxa" w:w="4608"/>
          </w:tcPr>
          <w:p>
            <w:pPr>
              <w:spacing w:line="240" w:lineRule="auto" w:after="20"/>
            </w:pPr>
            <w:r/>
            <w:r>
              <w:rPr>
                <w:sz w:val="16"/>
              </w:rPr>
              <w:t>figures/fig1_profiles.png</w:t>
            </w:r>
          </w:p>
        </w:tc>
        <w:tc>
          <w:tcPr>
            <w:tcW w:type="dxa" w:w="3168"/>
          </w:tcPr>
          <w:p>
            <w:pPr>
              <w:spacing w:line="240" w:lineRule="auto" w:after="20"/>
            </w:pPr>
            <w:r/>
            <w:r>
              <w:rPr>
                <w:sz w:val="16"/>
              </w:rPr>
              <w:t>a098d754a9da698c…</w:t>
            </w:r>
          </w:p>
        </w:tc>
      </w:tr>
      <w:tr>
        <w:tc>
          <w:tcPr>
            <w:tcW w:type="dxa" w:w="4608"/>
          </w:tcPr>
          <w:p>
            <w:pPr>
              <w:spacing w:line="240" w:lineRule="auto" w:after="20"/>
            </w:pPr>
            <w:r/>
            <w:r>
              <w:rPr>
                <w:sz w:val="16"/>
              </w:rPr>
              <w:t>figures/fig2_power_scan.png</w:t>
            </w:r>
          </w:p>
        </w:tc>
        <w:tc>
          <w:tcPr>
            <w:tcW w:type="dxa" w:w="3168"/>
          </w:tcPr>
          <w:p>
            <w:pPr>
              <w:spacing w:line="240" w:lineRule="auto" w:after="20"/>
            </w:pPr>
            <w:r/>
            <w:r>
              <w:rPr>
                <w:sz w:val="16"/>
              </w:rPr>
              <w:t>324477e92a5d4343…</w:t>
            </w:r>
          </w:p>
        </w:tc>
      </w:tr>
      <w:tr>
        <w:tc>
          <w:tcPr>
            <w:tcW w:type="dxa" w:w="4608"/>
          </w:tcPr>
          <w:p>
            <w:pPr>
              <w:spacing w:line="240" w:lineRule="auto" w:after="20"/>
            </w:pPr>
            <w:r/>
            <w:r>
              <w:rPr>
                <w:sz w:val="16"/>
              </w:rPr>
              <w:t>figures/fig3_convergence.png</w:t>
            </w:r>
          </w:p>
        </w:tc>
        <w:tc>
          <w:tcPr>
            <w:tcW w:type="dxa" w:w="3168"/>
          </w:tcPr>
          <w:p>
            <w:pPr>
              <w:spacing w:line="240" w:lineRule="auto" w:after="20"/>
            </w:pPr>
            <w:r/>
            <w:r>
              <w:rPr>
                <w:sz w:val="16"/>
              </w:rPr>
              <w:t>806ed6ead3880ac9…</w:t>
            </w:r>
          </w:p>
        </w:tc>
      </w:tr>
      <w:tr>
        <w:tc>
          <w:tcPr>
            <w:tcW w:type="dxa" w:w="4608"/>
          </w:tcPr>
          <w:p>
            <w:pPr>
              <w:spacing w:line="240" w:lineRule="auto" w:after="20"/>
            </w:pPr>
            <w:r/>
            <w:r>
              <w:rPr>
                <w:sz w:val="16"/>
              </w:rPr>
              <w:t>figures/fig4_branch.png</w:t>
            </w:r>
          </w:p>
        </w:tc>
        <w:tc>
          <w:tcPr>
            <w:tcW w:type="dxa" w:w="3168"/>
          </w:tcPr>
          <w:p>
            <w:pPr>
              <w:spacing w:line="240" w:lineRule="auto" w:after="20"/>
            </w:pPr>
            <w:r/>
            <w:r>
              <w:rPr>
                <w:sz w:val="16"/>
              </w:rPr>
              <w:t>4868cef32378acea…</w:t>
            </w:r>
          </w:p>
        </w:tc>
      </w:tr>
      <w:tr>
        <w:tc>
          <w:tcPr>
            <w:tcW w:type="dxa" w:w="4608"/>
          </w:tcPr>
          <w:p>
            <w:pPr>
              <w:spacing w:line="240" w:lineRule="auto" w:after="20"/>
            </w:pPr>
            <w:r/>
            <w:r>
              <w:rPr>
                <w:sz w:val="16"/>
              </w:rPr>
              <w:t>figures/fig5_flux.png</w:t>
            </w:r>
          </w:p>
        </w:tc>
        <w:tc>
          <w:tcPr>
            <w:tcW w:type="dxa" w:w="3168"/>
          </w:tcPr>
          <w:p>
            <w:pPr>
              <w:spacing w:line="240" w:lineRule="auto" w:after="20"/>
            </w:pPr>
            <w:r/>
            <w:r>
              <w:rPr>
                <w:sz w:val="16"/>
              </w:rPr>
              <w:t>f6aeb2795a089b8e…</w:t>
            </w:r>
          </w:p>
        </w:tc>
      </w:tr>
      <w:tr>
        <w:tc>
          <w:tcPr>
            <w:tcW w:type="dxa" w:w="4608"/>
          </w:tcPr>
          <w:p>
            <w:pPr>
              <w:spacing w:line="240" w:lineRule="auto" w:after="20"/>
            </w:pPr>
            <w:r/>
            <w:r>
              <w:rPr>
                <w:sz w:val="16"/>
              </w:rPr>
              <w:t>figures/fig6_rotation_tests.png</w:t>
            </w:r>
          </w:p>
        </w:tc>
        <w:tc>
          <w:tcPr>
            <w:tcW w:type="dxa" w:w="3168"/>
          </w:tcPr>
          <w:p>
            <w:pPr>
              <w:spacing w:line="240" w:lineRule="auto" w:after="20"/>
            </w:pPr>
            <w:r/>
            <w:r>
              <w:rPr>
                <w:sz w:val="16"/>
              </w:rPr>
              <w:t>ef946493d671529e…</w:t>
            </w:r>
          </w:p>
        </w:tc>
      </w:tr>
      <w:tr>
        <w:tc>
          <w:tcPr>
            <w:tcW w:type="dxa" w:w="4608"/>
          </w:tcPr>
          <w:p>
            <w:pPr>
              <w:spacing w:line="240" w:lineRule="auto" w:after="20"/>
            </w:pPr>
            <w:r/>
            <w:r>
              <w:rPr>
                <w:sz w:val="16"/>
              </w:rPr>
              <w:t>figures/fig7_coupled.png</w:t>
            </w:r>
          </w:p>
        </w:tc>
        <w:tc>
          <w:tcPr>
            <w:tcW w:type="dxa" w:w="3168"/>
          </w:tcPr>
          <w:p>
            <w:pPr>
              <w:spacing w:line="240" w:lineRule="auto" w:after="20"/>
            </w:pPr>
            <w:r/>
            <w:r>
              <w:rPr>
                <w:sz w:val="16"/>
              </w:rPr>
              <w:t>263f53e8c0495a89…</w:t>
            </w:r>
          </w:p>
        </w:tc>
      </w:tr>
    </w:tbl>
    <w:p>
      <w:pPr>
        <w:spacing w:after="40"/>
      </w:pPr>
    </w:p>
    <w:p>
      <w:pPr>
        <w:pStyle w:val="Heading1"/>
      </w:pPr>
      <w:r>
        <w:rPr>
          <w:rFonts w:ascii="Times New Roman" w:hAnsi="Times New Roman"/>
        </w:rPr>
        <w:t>References</w:t>
      </w:r>
    </w:p>
    <w:p>
      <w:pPr>
        <w:keepNext w:val="0"/>
        <w:spacing w:after="60"/>
      </w:pPr>
      <w:r>
        <w:rPr>
          <w:sz w:val="19"/>
        </w:rPr>
        <w:t>Biglari, H., Diamond, P. H. &amp; Terry, P. W. 1990 Influence of sheared poloidal rotation on edge turbulence. Phys. Fluids B 2, 1–4. https://doi.org/10.1063/1.859529</w:t>
      </w:r>
    </w:p>
    <w:p>
      <w:pPr>
        <w:keepNext w:val="0"/>
        <w:spacing w:after="60"/>
      </w:pPr>
      <w:r>
        <w:rPr>
          <w:sz w:val="19"/>
        </w:rPr>
        <w:t>Bosch, H.-S. &amp; Hale, G. M. 1992 Improved formulas for fusion cross-sections and thermal reactivities. Nucl. Fusion 32, 611–631. https://doi.org/10.1088/0029-5515/32/4/i07</w:t>
      </w:r>
    </w:p>
    <w:p>
      <w:pPr>
        <w:keepNext w:val="0"/>
        <w:spacing w:after="60"/>
      </w:pPr>
      <w:r>
        <w:rPr>
          <w:sz w:val="19"/>
        </w:rPr>
        <w:t>Burrell, K. H. 1997 Effects of E×B velocity shear and magnetic shear on turbulence and transport in magnetic confinement devices. Phys. Plasmas 4, 1499–1518. https://doi.org/10.1063/1.872367</w:t>
      </w:r>
    </w:p>
    <w:p>
      <w:pPr>
        <w:keepNext w:val="0"/>
        <w:spacing w:after="60"/>
      </w:pPr>
      <w:r>
        <w:rPr>
          <w:sz w:val="19"/>
        </w:rPr>
        <w:t>Dimits, A. M., Bateman, G., Beer, M. A., Cohen, B. I., Dorland, W., Hammett, G. W., Kim, C., Kinsey, J. E., Kotschenreuther, M., Kritz, A. H., Lao, L. L., Mandrekas, J., Nevins, W. M., Parker, S. E., Redd, A. J., Shumaker, D. E., Sydora, R. &amp; Weiland, J. 2000 Comparisons and physics basis of tokamak transport models and turbulence simulations. Phys. Plasmas 7, 969–983. https://doi.org/10.1063/1.873896</w:t>
      </w:r>
    </w:p>
    <w:p>
      <w:pPr>
        <w:keepNext w:val="0"/>
        <w:spacing w:after="60"/>
      </w:pPr>
      <w:r>
        <w:rPr>
          <w:sz w:val="19"/>
        </w:rPr>
        <w:t>Freidberg, J. P. 2014 Ideal MHD. Cambridge University Press.</w:t>
      </w:r>
    </w:p>
    <w:p>
      <w:pPr>
        <w:keepNext w:val="0"/>
        <w:spacing w:after="60"/>
      </w:pPr>
      <w:r>
        <w:rPr>
          <w:sz w:val="19"/>
        </w:rPr>
        <w:t>Hahm, T. S. &amp; Burrell, K. H. 1995 Flow shear induced fluctuation suppression in finite aspect ratio shaped tokamak plasma. Phys. Plasmas 2, 1648–1651. https://doi.org/10.1063/1.871313</w:t>
      </w:r>
    </w:p>
    <w:p>
      <w:pPr>
        <w:keepNext w:val="0"/>
        <w:spacing w:after="60"/>
      </w:pPr>
      <w:r>
        <w:rPr>
          <w:sz w:val="19"/>
        </w:rPr>
        <w:t>Hinton, F. L. 1991 Thermal confinement bifurcation and the L- to H-mode transition in tokamaks. Phys. Fluids B 3, 696–704. https://doi.org/10.1063/1.859866</w:t>
      </w:r>
    </w:p>
    <w:p>
      <w:pPr>
        <w:keepNext w:val="0"/>
        <w:spacing w:after="60"/>
      </w:pPr>
      <w:r>
        <w:rPr>
          <w:sz w:val="19"/>
        </w:rPr>
        <w:t>ITER Physics Expert Group on Confinement and Transport, ITER Physics Expert Group on Confinement Modelling and Database &amp; ITER Physics Basis Editors 1999 ITER Physics Basis, chapter 2: plasma confinement and transport. Nucl. Fusion 39, 2175–2249. https://doi.org/10.1088/0029-5515/39/12/302</w:t>
      </w:r>
    </w:p>
    <w:p>
      <w:pPr>
        <w:keepNext w:val="0"/>
        <w:spacing w:after="60"/>
      </w:pPr>
      <w:r>
        <w:rPr>
          <w:sz w:val="19"/>
        </w:rPr>
        <w:t>Itoh, S.-I. &amp; Itoh, K. 1988 Model of L to H-mode transition in tokamak. Phys. Rev. Lett. 60, 2276–2279. https://doi.org/10.1103/physrevlett.60.2276</w:t>
      </w:r>
    </w:p>
    <w:p>
      <w:pPr>
        <w:keepNext w:val="0"/>
        <w:spacing w:after="60"/>
      </w:pPr>
      <w:r>
        <w:rPr>
          <w:sz w:val="19"/>
        </w:rPr>
        <w:t>Kotschenreuther, M., Dorland, W., Beer, M. A. &amp; Hammett, G. W. 1995 Quantitative predictions of tokamak energy confinement from first-principles simulations with kinetic effects. Phys. Plasmas 2, 2381–2389. https://doi.org/10.1063/1.871261</w:t>
      </w:r>
    </w:p>
    <w:p>
      <w:pPr>
        <w:keepNext w:val="0"/>
        <w:spacing w:after="60"/>
      </w:pPr>
      <w:r>
        <w:rPr>
          <w:sz w:val="19"/>
        </w:rPr>
        <w:t>Perona, P. &amp; Malik, J. 1990 Scale-space and edge detection using anisotropic diffusion. IEEE Trans. Pattern Anal. Mach. Intell. 12, 629–639. https://doi.org/10.1109/34.56205</w:t>
      </w:r>
    </w:p>
    <w:p>
      <w:pPr>
        <w:keepNext w:val="0"/>
        <w:spacing w:after="60"/>
      </w:pPr>
      <w:r>
        <w:rPr>
          <w:sz w:val="19"/>
        </w:rPr>
        <w:t>Terry, P. W. 2000 Suppression of turbulence and transport by sheared flow. Rev. Mod. Phys. 72, 109–165. https://doi.org/10.1103/revmodphys.72.109</w:t>
      </w:r>
    </w:p>
    <w:p>
      <w:pPr>
        <w:keepNext w:val="0"/>
        <w:spacing w:after="60"/>
      </w:pPr>
      <w:r>
        <w:rPr>
          <w:sz w:val="19"/>
        </w:rPr>
        <w:t>Waltz, R. E., Kerbel, G. D. &amp; Milovich, J. 1994 Toroidal gyro-Landau fluid model turbulence simulations in a nonlinear ballooning mode representation with radial modes. Phys. Plasmas 1, 2229–2244. https://doi.org/10.1063/1.870934</w:t>
      </w:r>
    </w:p>
    <w:p>
      <w:pPr>
        <w:keepNext w:val="0"/>
        <w:spacing w:after="60"/>
      </w:pPr>
      <w:r>
        <w:rPr>
          <w:sz w:val="19"/>
        </w:rPr>
        <w:t>Wesson, J. 2011 Tokamaks, 4th edn. Oxford University Press.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