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Leon Sandler</w:t>
      </w:r>
    </w:p>
    <w:p>
      <w:pPr>
        <w:spacing w:after="0"/>
      </w:pPr>
      <w:r>
        <w:t>Independent researcher, Northbrook, Illinois, USA</w:t>
      </w:r>
    </w:p>
    <w:p>
      <w:pPr>
        <w:spacing w:after="0"/>
      </w:pPr>
      <w:r>
        <w:t>sandler.leon@gmail.com</w:t>
      </w:r>
    </w:p>
    <w:p>
      <w:pPr>
        <w:spacing w:after="0"/>
      </w:pPr>
      <w:r>
        <w:t>ORCID: https://orcid.org/0009-0007-4584-808X</w:t>
      </w:r>
    </w:p>
    <w:p>
      <w:pPr>
        <w:spacing w:after="120"/>
      </w:pPr>
    </w:p>
    <w:p>
      <w:pPr>
        <w:spacing w:after="120"/>
      </w:pPr>
      <w:r>
        <w:t>9 October 2026</w:t>
      </w:r>
    </w:p>
    <w:p>
      <w:pPr>
        <w:spacing w:after="200"/>
      </w:pPr>
      <w:r>
        <w:t>The Editor-in-Chief</w:t>
        <w:br/>
        <w:t>IEEE Transactions on Plasma Science</w:t>
      </w:r>
    </w:p>
    <w:p>
      <w:pPr>
        <w:spacing w:after="200"/>
      </w:pPr>
      <w:r>
        <w:rPr>
          <w:b/>
        </w:rPr>
        <w:t>Submission of a regular paper: “Numerical Admissibility and Regularization of Shear-Suppression Closures for Reduced Tokamak Transport”</w:t>
      </w:r>
    </w:p>
    <w:p>
      <w:pPr>
        <w:spacing w:after="120"/>
      </w:pPr>
      <w:r>
        <w:t>Dear Editor,</w:t>
      </w:r>
    </w:p>
    <w:p>
      <w:pPr>
        <w:spacing w:after="120"/>
      </w:pPr>
      <w:r>
        <w:t>I submit the enclosed paper for consideration as a regular paper in the IEEE Transactions on Plasma Science. It addresses a modelling question that matters for fusion transport codes: when a turbulent-transport closure is suppressed by sheared E×B flow, does it define a numerically well-behaved steady problem, and how much does it change the fusion gain once it does? The study is computational and theoretical, uses a reduced one-dimensional model of a reactor-scale tokamak, and uses no experimental data.</w:t>
      </w:r>
    </w:p>
    <w:p>
      <w:pPr>
        <w:spacing w:after="60"/>
      </w:pPr>
      <w:r>
        <w:rPr>
          <w:b/>
        </w:rPr>
        <w:t>Main results</w:t>
      </w:r>
    </w:p>
    <w:p>
      <w:pPr>
        <w:pStyle w:val="ListBullet"/>
        <w:spacing w:after="60"/>
      </w:pPr>
      <w:r>
        <w:rPr>
          <w:i/>
        </w:rPr>
        <w:t>Numerical admissibility and regularization.</w:t>
      </w:r>
      <w:r>
        <w:t xml:space="preserve"> The local closure, whose shearing rate contains the second derivative of the temperature, is numerically ill posed: its converged answer depends on how the edge is treated (10% apart at a threshold of 0.05 for two natural edge conditions), and a grid-scale instability appears at a threshold that grows as N</w:t>
      </w:r>
      <w:r>
        <w:rPr>
          <w:vertAlign w:val="superscript"/>
        </w:rPr>
        <w:t>0.52</w:t>
      </w:r>
      <w:r>
        <w:t xml:space="preserve"> with the number of cells N, so that every finite threshold becomes unstable at fine resolution. A first-order edge treatment hides this and produces a spurious fold. An adaptive-field closure that smooths the shearing rate over a fixed length is stable and grid converged over the tested conditions, converges at second order, and is insensitive to the length (0.8% over a tenfold range).</w:t>
      </w:r>
    </w:p>
    <w:p>
      <w:pPr>
        <w:pStyle w:val="ListBullet"/>
        <w:spacing w:after="60"/>
      </w:pPr>
      <w:r>
        <w:rPr>
          <w:i/>
        </w:rPr>
        <w:t>Closed-form admissibility conditions</w:t>
      </w:r>
      <w:r>
        <w:t xml:space="preserve"> for a shear-dependent viscosity in the rotation equation (m ≤ 1 for 1/(1 + Λ</w:t>
      </w:r>
      <w:r>
        <w:rPr>
          <w:vertAlign w:val="superscript"/>
        </w:rPr>
        <w:t>m</w:t>
      </w:r>
      <w:r>
        <w:t>); floors 1/9 and 0.3086), with the predicted saturation, fold, and hysteresis window, reproduced by direct solutions to a relative error of 5e-11.</w:t>
      </w:r>
    </w:p>
    <w:p>
      <w:pPr>
        <w:pStyle w:val="ListBullet"/>
        <w:spacing w:after="60"/>
      </w:pPr>
      <w:r>
        <w:rPr>
          <w:i/>
        </w:rPr>
        <w:t>A fitted gain relation and its uncertainty.</w:t>
      </w:r>
      <w:r>
        <w:t xml:space="preserve"> The smoothed closure raises the fusion gain by 0.62% at a suppression threshold of 0.3 and 5.9% at 0.1, following the fitted relation ΔQ/Q = 0.056%/s</w:t>
      </w:r>
      <w:r>
        <w:rPr>
          <w:vertAlign w:val="subscript"/>
        </w:rPr>
        <w:t>c</w:t>
      </w:r>
      <w:r>
        <w:t>² (an empirical fit over the tested range, not a universal scaling); a Sobol study over seven parameters gives the spread, and the baseline is consistent with the ITER89-P L-mode scaling (H</w:t>
      </w:r>
      <w:r>
        <w:rPr>
          <w:vertAlign w:val="subscript"/>
        </w:rPr>
        <w:t>89</w:t>
      </w:r>
      <w:r>
        <w:t xml:space="preserve"> = 1.01; with the edge temperature imposed this is a consistency check, not a validation).</w:t>
      </w:r>
    </w:p>
    <w:p>
      <w:pPr>
        <w:pStyle w:val="ListBullet"/>
        <w:spacing w:after="60"/>
      </w:pPr>
      <w:r>
        <w:rPr>
          <w:i/>
        </w:rPr>
        <w:t>Physical calibration and a screening-level plant balance</w:t>
      </w:r>
      <w:r>
        <w:t xml:space="preserve"> (Section VI) against confinement scalings, the Greenwald and Troyon limits, neutral-beam torque, and an assumed-efficiency electric power balance (net power -45 MW for the reference device, negative under every assumption sampled; the closure adds about 4 MW at a threshold of 0.1; no cost is computed): at the estimated torque of a reactor-scale device (36 N m) the torque-driven gain is about 1.5% (threshold 0.5).</w:t>
      </w:r>
    </w:p>
    <w:p>
      <w:pPr>
        <w:spacing w:after="60"/>
      </w:pPr>
      <w:r>
        <w:rPr>
          <w:b/>
        </w:rPr>
        <w:t>Fit to the journal</w:t>
      </w:r>
    </w:p>
    <w:p>
      <w:pPr>
        <w:spacing w:after="120"/>
      </w:pPr>
      <w:r>
        <w:t>The paper concerns transport modelling for fusion devices and the numerical reliability of the closures used in it; it states what has and has not been established and keeps the claims no stronger than the checks. “Well posed” is used in a numerical sense: no existence, uniqueness, or continuous-dependence theorem is claimed for the nonlinear heat problem, only the admissibility conditions of the rotation equation are proved. The Discussion also states, without claiming a design result, how the method bears on screening compact, cost-constrained tokamaks. A supplementary file contains the proofs, the numerical protocol, and extended tables.</w:t>
      </w:r>
    </w:p>
    <w:p>
      <w:pPr>
        <w:spacing w:after="60"/>
      </w:pPr>
      <w:r>
        <w:rPr>
          <w:b/>
        </w:rPr>
        <w:t>Code, data, and declarations</w:t>
      </w:r>
    </w:p>
    <w:p>
      <w:pPr>
        <w:spacing w:after="120"/>
      </w:pPr>
      <w:r>
        <w:t>All code, tests, raw results, and figure scripts are public at https://github.com/sandlerleon/tokamak-statedependent-closure (release v1.2.0) and archived at https://doi.org/10.5281/zenodo.23268573; the manuscript is available as a preprint at https://doi.org/10.5281/zenodo.23268576. Reproducing every number takes under an hour. In line with IEEE policy, the use of artificial intelligence is disclosed in the Acknowledgment: Claude Sonnet 5.5 (Anthropic; model identifier claude-sonnet-5-5), accessed through the Claude Code environment of the Claude desktop application, was used between 7 and 9 October 2026 for code, derivations, numerical experiments, figures, and drafting; I reviewed and edited all content, checked every reference against Crossref, and take full responsibility for the paper. I am the sole author, have no conflicts of interest, and received no funding. The manuscript has not been published in a journal and is not under consideration elsewhere. An earlier version of the preprint (https://doi.org/10.5281/zenodo.23229938) reported a steady-state fold that I have since shown to be an artifact of a first-order edge treatment; it is superseded by the version cited above. Intermediate archives (versions 1.1.0 and 1.1.1, https://doi.org/10.5281/zenodo.23251966 and https://doi.org/10.5281/zenodo.23267849) are superseded by the cited version, which adds the plant power balance and qualifies the well-posedness and gain-law claims.</w:t>
      </w:r>
    </w:p>
    <w:p>
      <w:pPr>
        <w:spacing w:after="120"/>
      </w:pPr>
      <w:r>
        <w:t>Thank you for considering the paper.</w:t>
      </w:r>
    </w:p>
    <w:p>
      <w:pPr>
        <w:spacing w:after="360"/>
      </w:pPr>
      <w:r>
        <w:t>Yours sincerely,</w:t>
      </w:r>
    </w:p>
    <w:p>
      <w:pPr>
        <w:spacing w:after="120"/>
      </w:pPr>
      <w:r>
        <w:t>Leon Sandler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