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rFonts w:ascii="Times New Roman" w:cs="Times New Roman" w:eastAsia="Times New Roman" w:hAnsi="Times New Roman"/>
          <w:b/>
          <w:bCs/>
          <w:i w:val="false"/>
          <w:iCs w:val="false"/>
          <w:sz w:val="24"/>
          <w:szCs w:val="24"/>
        </w:rPr>
        <w:t xml:space="preserve">Leon Sandler</w:t>
      </w:r>
    </w:p>
    <w:p>
      <w:pPr>
        <w:spacing w:after="200"/>
        <w:jc w:val="left"/>
      </w:pPr>
      <w:r>
        <w:rPr>
          <w:rFonts w:ascii="Times New Roman" w:cs="Times New Roman" w:eastAsia="Times New Roman" w:hAnsi="Times New Roman"/>
          <w:b w:val="false"/>
          <w:bCs w:val="false"/>
          <w:i w:val="false"/>
          <w:iCs w:val="false"/>
          <w:sz w:val="24"/>
          <w:szCs w:val="24"/>
        </w:rPr>
        <w:t xml:space="preserve">Independent Researcher — Northbrook, IL, USA</w:t>
      </w:r>
    </w:p>
    <w:p>
      <w:pPr>
        <w:spacing w:after="200"/>
        <w:jc w:val="left"/>
      </w:pPr>
      <w:r>
        <w:rPr>
          <w:rFonts w:ascii="Times New Roman" w:cs="Times New Roman" w:eastAsia="Times New Roman" w:hAnsi="Times New Roman"/>
          <w:b w:val="false"/>
          <w:bCs w:val="false"/>
          <w:i w:val="false"/>
          <w:iCs w:val="false"/>
          <w:sz w:val="24"/>
          <w:szCs w:val="24"/>
        </w:rPr>
        <w:t xml:space="preserve">leonsandler@alumni.swinburne.edu</w:t>
      </w:r>
    </w:p>
    <w:p>
      <w:pPr>
        <w:spacing w:after="400"/>
        <w:jc w:val="left"/>
      </w:pPr>
      <w:r>
        <w:rPr>
          <w:rFonts w:ascii="Times New Roman" w:cs="Times New Roman" w:eastAsia="Times New Roman" w:hAnsi="Times New Roman"/>
          <w:b w:val="false"/>
          <w:bCs w:val="false"/>
          <w:i w:val="false"/>
          <w:iCs w:val="false"/>
          <w:sz w:val="24"/>
          <w:szCs w:val="24"/>
        </w:rPr>
        <w:t xml:space="preserve">September 2, 2026</w:t>
      </w:r>
    </w:p>
    <w:p>
      <w:pPr>
        <w:spacing w:after="200"/>
        <w:jc w:val="left"/>
      </w:pPr>
      <w:r>
        <w:rPr>
          <w:rFonts w:ascii="Times New Roman" w:cs="Times New Roman" w:eastAsia="Times New Roman" w:hAnsi="Times New Roman"/>
          <w:b w:val="false"/>
          <w:bCs w:val="false"/>
          <w:i w:val="false"/>
          <w:iCs w:val="false"/>
          <w:sz w:val="24"/>
          <w:szCs w:val="24"/>
        </w:rPr>
        <w:t xml:space="preserve">Dr. Ednah Akinyi Ooko, PhD</w:t>
      </w:r>
    </w:p>
    <w:p>
      <w:pPr>
        <w:spacing w:after="200"/>
        <w:jc w:val="left"/>
      </w:pPr>
      <w:r>
        <w:rPr>
          <w:rFonts w:ascii="Times New Roman" w:cs="Times New Roman" w:eastAsia="Times New Roman" w:hAnsi="Times New Roman"/>
          <w:b w:val="false"/>
          <w:bCs w:val="false"/>
          <w:i w:val="false"/>
          <w:iCs w:val="false"/>
          <w:sz w:val="24"/>
          <w:szCs w:val="24"/>
        </w:rPr>
        <w:t xml:space="preserve">Scientific Handling Editor</w:t>
      </w:r>
    </w:p>
    <w:p>
      <w:pPr>
        <w:spacing w:after="400"/>
        <w:jc w:val="left"/>
      </w:pPr>
      <w:r>
        <w:rPr>
          <w:rFonts w:ascii="Times New Roman" w:cs="Times New Roman" w:eastAsia="Times New Roman" w:hAnsi="Times New Roman"/>
          <w:b w:val="false"/>
          <w:bCs w:val="false"/>
          <w:i w:val="false"/>
          <w:iCs w:val="false"/>
          <w:sz w:val="24"/>
          <w:szCs w:val="24"/>
        </w:rPr>
        <w:t xml:space="preserve">Immunobiology</w:t>
      </w:r>
    </w:p>
    <w:p>
      <w:pPr>
        <w:spacing w:after="200"/>
        <w:jc w:val="left"/>
      </w:pPr>
      <w:r>
        <w:rPr>
          <w:rFonts w:ascii="Times New Roman" w:cs="Times New Roman" w:eastAsia="Times New Roman" w:hAnsi="Times New Roman"/>
          <w:b/>
          <w:bCs/>
          <w:i w:val="false"/>
          <w:iCs w:val="false"/>
          <w:sz w:val="24"/>
          <w:szCs w:val="24"/>
        </w:rPr>
        <w:t xml:space="preserve">Re: Manuscript IMBIO-D-26-00873 — Revised Submission</w:t>
      </w:r>
    </w:p>
    <w:p>
      <w:pPr>
        <w:spacing w:after="400"/>
        <w:jc w:val="left"/>
      </w:pPr>
      <w:r>
        <w:rPr>
          <w:rFonts w:ascii="Times New Roman" w:cs="Times New Roman" w:eastAsia="Times New Roman" w:hAnsi="Times New Roman"/>
          <w:b w:val="false"/>
          <w:bCs w:val="false"/>
          <w:i/>
          <w:iCs/>
          <w:sz w:val="24"/>
          <w:szCs w:val="24"/>
        </w:rPr>
        <w:t xml:space="preserve">“Neuroinflammatory Vulnerability Windows in Trisomy 21: A Hypothesis for Preclinical Investigation of IL-13/TSLP Modulation During Fetal Neurodevelopment”</w:t>
      </w:r>
    </w:p>
    <w:p>
      <w:pPr>
        <w:spacing w:after="200"/>
        <w:jc w:val="left"/>
      </w:pPr>
      <w:r>
        <w:rPr>
          <w:rFonts w:ascii="Times New Roman" w:cs="Times New Roman" w:eastAsia="Times New Roman" w:hAnsi="Times New Roman"/>
          <w:b w:val="false"/>
          <w:bCs w:val="false"/>
          <w:i w:val="false"/>
          <w:iCs w:val="false"/>
          <w:sz w:val="24"/>
          <w:szCs w:val="24"/>
        </w:rPr>
        <w:t xml:space="preserve">Dear Dr. Ooko,</w:t>
      </w:r>
    </w:p>
    <w:p>
      <w:pPr>
        <w:spacing w:after="200"/>
        <w:jc w:val="left"/>
      </w:pPr>
      <w:r>
        <w:rPr>
          <w:rFonts w:ascii="Times New Roman" w:cs="Times New Roman" w:eastAsia="Times New Roman" w:hAnsi="Times New Roman"/>
          <w:b w:val="false"/>
          <w:bCs w:val="false"/>
          <w:i w:val="false"/>
          <w:iCs w:val="false"/>
          <w:sz w:val="24"/>
          <w:szCs w:val="24"/>
        </w:rPr>
        <w:t xml:space="preserve">Thank you and the two reviewers for the thorough and genuinely constructive evaluation of our manuscript. We appreciate the major revision decision and are pleased to submit a revised version well within the September 23, 2026 deadline.</w:t>
      </w:r>
    </w:p>
    <w:p>
      <w:pPr>
        <w:spacing w:after="200"/>
        <w:jc w:val="left"/>
      </w:pPr>
      <w:r>
        <w:rPr>
          <w:rFonts w:ascii="Times New Roman" w:cs="Times New Roman" w:eastAsia="Times New Roman" w:hAnsi="Times New Roman"/>
          <w:b w:val="false"/>
          <w:bCs w:val="false"/>
          <w:i w:val="false"/>
          <w:iCs w:val="false"/>
          <w:sz w:val="24"/>
          <w:szCs w:val="24"/>
        </w:rPr>
        <w:t xml:space="preserve">Both reviewers raised substantive conceptual and methodological points rather than superficial ones, and we have tried to meet each on its own terms rather than merely acknowledging it. In particular, we have:</w:t>
      </w:r>
    </w:p>
    <w:p>
      <w:pPr>
        <w:spacing w:after="200"/>
        <w:jc w:val="left"/>
      </w:pPr>
      <w:r>
        <w:rPr>
          <w:rFonts w:ascii="Times New Roman" w:cs="Times New Roman" w:eastAsia="Times New Roman" w:hAnsi="Times New Roman"/>
          <w:b w:val="false"/>
          <w:bCs w:val="false"/>
          <w:i w:val="false"/>
          <w:iCs w:val="false"/>
          <w:sz w:val="24"/>
          <w:szCs w:val="24"/>
        </w:rPr>
        <w:t xml:space="preserve">• Added a new subsection (4.3) directly comparing single-target IL-13 blockade (zumilokibart) against dual IL-13/TSLP blockade (APG273), addressing Reviewer #1's question about the relative importance of anti-TSLP activity.</w:t>
      </w:r>
    </w:p>
    <w:p>
      <w:pPr>
        <w:spacing w:after="200"/>
        <w:jc w:val="left"/>
      </w:pPr>
      <w:r>
        <w:rPr>
          <w:rFonts w:ascii="Times New Roman" w:cs="Times New Roman" w:eastAsia="Times New Roman" w:hAnsi="Times New Roman"/>
          <w:b w:val="false"/>
          <w:bCs w:val="false"/>
          <w:i w:val="false"/>
          <w:iCs w:val="false"/>
          <w:sz w:val="24"/>
          <w:szCs w:val="24"/>
        </w:rPr>
        <w:t xml:space="preserve">• Added a new subsection (3.5) situating T21's elevated atopic disease burden — including atopic dermatitis — as a translational parallel to the paper's central IL-13 hypothesis, addressing Reviewer #1's third point.</w:t>
      </w:r>
    </w:p>
    <w:p>
      <w:pPr>
        <w:spacing w:after="200"/>
        <w:jc w:val="left"/>
      </w:pPr>
      <w:r>
        <w:rPr>
          <w:rFonts w:ascii="Times New Roman" w:cs="Times New Roman" w:eastAsia="Times New Roman" w:hAnsi="Times New Roman"/>
          <w:b w:val="false"/>
          <w:bCs w:val="false"/>
          <w:i w:val="false"/>
          <w:iCs w:val="false"/>
          <w:sz w:val="24"/>
          <w:szCs w:val="24"/>
        </w:rPr>
        <w:t xml:space="preserve">• Clarified in Section 8 that the proposed framework is deliberately prenatal in scope and does not extend to postnatal or adult dosing, including the separate Alzheimer's-related hypothesis Reviewer #1 raised, while explaining why serial biomarker monitoring remains appropriate.</w:t>
      </w:r>
    </w:p>
    <w:p>
      <w:pPr>
        <w:spacing w:after="200"/>
        <w:jc w:val="left"/>
      </w:pPr>
      <w:r>
        <w:rPr>
          <w:rFonts w:ascii="Times New Roman" w:cs="Times New Roman" w:eastAsia="Times New Roman" w:hAnsi="Times New Roman"/>
          <w:b w:val="false"/>
          <w:bCs w:val="false"/>
          <w:i w:val="false"/>
          <w:iCs w:val="false"/>
          <w:sz w:val="24"/>
          <w:szCs w:val="24"/>
        </w:rPr>
        <w:t xml:space="preserve">• Added three new paragraphs to Section 4.1 directly engaging Reviewer #2's central ‘fire vs. smoke’ objection (points 1 and 4), drawing on precedent from TNF-α blockade in rheumatoid arthritis and IL-17/IL-23 blockade in psoriasis — both examples of downstream-effector blockade producing clinical benefit despite an unaddressed upstream/polygenic driver — while being explicit that this precedent does not itself prove the T21 hypothesis and cross-referencing the specific falsifiability criterion that would catch a negative result.</w:t>
      </w:r>
    </w:p>
    <w:p>
      <w:pPr>
        <w:spacing w:after="200"/>
        <w:jc w:val="left"/>
      </w:pPr>
      <w:r>
        <w:rPr>
          <w:rFonts w:ascii="Times New Roman" w:cs="Times New Roman" w:eastAsia="Times New Roman" w:hAnsi="Times New Roman"/>
          <w:b w:val="false"/>
          <w:bCs w:val="false"/>
          <w:i w:val="false"/>
          <w:iCs w:val="false"/>
          <w:sz w:val="24"/>
          <w:szCs w:val="24"/>
        </w:rPr>
        <w:t xml:space="preserve">• Added a new paragraph to Section 3.3 naming, rather than deflecting, the first-trimester Th2-tolerance safety risk Reviewer #2 raised in point 2, and explaining why the pregnancy-safety data already cited in the manuscript does not resolve it.</w:t>
      </w:r>
    </w:p>
    <w:p>
      <w:pPr>
        <w:spacing w:after="200"/>
        <w:jc w:val="left"/>
      </w:pPr>
      <w:r>
        <w:rPr>
          <w:rFonts w:ascii="Times New Roman" w:cs="Times New Roman" w:eastAsia="Times New Roman" w:hAnsi="Times New Roman"/>
          <w:b w:val="false"/>
          <w:bCs w:val="false"/>
          <w:i w:val="false"/>
          <w:iCs w:val="false"/>
          <w:sz w:val="24"/>
          <w:szCs w:val="24"/>
        </w:rPr>
        <w:t xml:space="preserve">• Substantially reframed Section 13 (the computational simulation), including a rewritten introduction and a new Section 13.4 (“Interpretation: An Exploratory Scaffold, Not a Predictive Model”), which directly addresses Reviewer #2's point 3: we now explain why the simulation's outputs should not be read as clinical evidence, and reframe the Monte Carlo sensitivity result (positive direction across all 100 samples) as the level of claim the model actually supports. In finalising this section we also removed a headline NDI percentage we had originally reported, once we noticed it was expressed in inconsistent units across two sentences — the section now deliberately reports no numerical magnitude at all, only the directional finding.</w:t>
      </w:r>
    </w:p>
    <w:p>
      <w:pPr>
        <w:spacing w:after="200"/>
        <w:jc w:val="left"/>
      </w:pPr>
      <w:r>
        <w:rPr>
          <w:rFonts w:ascii="Times New Roman" w:cs="Times New Roman" w:eastAsia="Times New Roman" w:hAnsi="Times New Roman"/>
          <w:b w:val="false"/>
          <w:bCs w:val="false"/>
          <w:i w:val="false"/>
          <w:iCs w:val="false"/>
          <w:sz w:val="24"/>
          <w:szCs w:val="24"/>
        </w:rPr>
        <w:t xml:space="preserve">• Added an explicit hedge to the 40% microglial-resolution parameter discussed in Section 13.2, addressing Reviewer #2's point 5, with a cross-reference to the new Section 13.4 sensitivity discussion.</w:t>
      </w:r>
    </w:p>
    <w:p>
      <w:pPr>
        <w:spacing w:after="200"/>
        <w:jc w:val="left"/>
      </w:pPr>
      <w:r>
        <w:rPr>
          <w:rFonts w:ascii="Times New Roman" w:cs="Times New Roman" w:eastAsia="Times New Roman" w:hAnsi="Times New Roman"/>
          <w:b w:val="false"/>
          <w:bCs w:val="false"/>
          <w:i w:val="false"/>
          <w:iCs w:val="false"/>
          <w:sz w:val="24"/>
          <w:szCs w:val="24"/>
        </w:rPr>
        <w:t xml:space="preserve">• Carried out a full manual line-edit pass addressing Reviewer #2's point 6 (and the “language editing” checkbox both reviewers were asked about), removing repetitive stock phrasing and rewriting passages as connected, hedged argumentative prose rather than uniformly confident assertions.</w:t>
      </w:r>
    </w:p>
    <w:p>
      <w:pPr>
        <w:spacing w:after="200"/>
        <w:jc w:val="left"/>
      </w:pPr>
      <w:r>
        <w:rPr>
          <w:rFonts w:ascii="Times New Roman" w:cs="Times New Roman" w:eastAsia="Times New Roman" w:hAnsi="Times New Roman"/>
          <w:b w:val="false"/>
          <w:bCs w:val="false"/>
          <w:i w:val="false"/>
          <w:iCs w:val="false"/>
          <w:sz w:val="24"/>
          <w:szCs w:val="24"/>
        </w:rPr>
        <w:t xml:space="preserve">• Removed three reference-list entries unrelated to this paper's subject matter, which were very likely contributing to the manuscript's “AI-generated” impression.</w:t>
      </w:r>
    </w:p>
    <w:p>
      <w:pPr>
        <w:spacing w:after="200"/>
        <w:jc w:val="left"/>
      </w:pPr>
      <w:r>
        <w:rPr>
          <w:rFonts w:ascii="Times New Roman" w:cs="Times New Roman" w:eastAsia="Times New Roman" w:hAnsi="Times New Roman"/>
          <w:b w:val="false"/>
          <w:bCs w:val="false"/>
          <w:i w:val="false"/>
          <w:iCs w:val="false"/>
          <w:sz w:val="24"/>
          <w:szCs w:val="24"/>
        </w:rPr>
        <w:t xml:space="preserve">• Corrected an inconsistency in the Data Availability Statement: the simulation code was not previously deposited on Zenodo as the manuscript claimed. It is now separately and independently deposited and citable.</w:t>
      </w:r>
    </w:p>
    <w:p>
      <w:pPr>
        <w:spacing w:after="200"/>
        <w:jc w:val="left"/>
      </w:pPr>
      <w:r>
        <w:rPr>
          <w:rFonts w:ascii="Times New Roman" w:cs="Times New Roman" w:eastAsia="Times New Roman" w:hAnsi="Times New Roman"/>
          <w:b w:val="false"/>
          <w:bCs w:val="false"/>
          <w:i w:val="false"/>
          <w:iCs w:val="false"/>
          <w:sz w:val="24"/>
          <w:szCs w:val="24"/>
        </w:rPr>
        <w:t xml:space="preserve">Beyond the reviewer-requested changes above, we also carried out two rounds of self-initiated accuracy and consistency review before resubmission. The first pass: the title was revised to read less like a proposed clinical intervention and more precisely as a preclinical hypothesis; language describing AbbVie's acquisition of Apogee Therapeutics was corrected to reflect that it is a proposed transaction still pending closing (announced June 2026, expected to close Q3 2026), not a completed one; a claim about APG273 Phase 1 data was corrected to attribute that data to its individual component antibody, APG333, rather than to the APG273 combination as tested; a duplicate section-numbering error (two sections both numbered 12) was fixed and its subsections renumbered accordingly; the two tables in Sections 4.2 and 5 were relabeled into their correct sequential reading order; a citation that had been mistakenly given the same reference number as an unrelated source was traced to its correct source (Galbraith et al., 2023, Science Advances) and added as its own reference; and a paragraph was added clarifying that the three neuroinflammatory windows are heuristic, overlapping temporal domains rather than sharply bounded biological ones.</w:t>
      </w:r>
    </w:p>
    <w:p>
      <w:pPr>
        <w:spacing w:after="200"/>
        <w:jc w:val="left"/>
      </w:pPr>
      <w:r>
        <w:rPr>
          <w:rFonts w:ascii="Times New Roman" w:cs="Times New Roman" w:eastAsia="Times New Roman" w:hAnsi="Times New Roman"/>
          <w:b w:val="false"/>
          <w:bCs w:val="false"/>
          <w:i w:val="false"/>
          <w:iCs w:val="false"/>
          <w:sz w:val="24"/>
          <w:szCs w:val="24"/>
        </w:rPr>
        <w:t xml:space="preserve">The second pass, prompted by a further scientific readiness review: a new paragraph was added at the start of Section 4 stating explicitly that IL-13 is proposed as a plausible, tractable downstream node under investigation, not as an established primary driver of T21 neurodevelopmental impairment; the Week 12/24/32 timepoints in Section 8 were widened into gestational ranges matching the three vulnerability windows, with an added sentence stating explicitly that they are illustrative modelling placeholders and not a proposed clinical dosing recommendation; a genuinely mismatched citation was found and corrected — the manuscript had attributed a cognitive-benefit finding to “baricitinib” via a fabricated reference, when the real underlying study (Rachubinski et al., 2024, Journal of Neuroimmunology) used tofacitinib in a small Down Syndrome Regression Disorder case series, not a Phase 2 trial in general DS; and a units inconsistency in the simulation-interpretation section (a percentage figure and an unlabelled point figure presented as though comparable) was resolved by removing the headline number entirely rather than risk restating it incorrectly.</w:t>
      </w:r>
    </w:p>
    <w:p>
      <w:pPr>
        <w:spacing w:after="200"/>
        <w:jc w:val="left"/>
      </w:pPr>
      <w:r>
        <w:rPr>
          <w:rFonts w:ascii="Times New Roman" w:cs="Times New Roman" w:eastAsia="Times New Roman" w:hAnsi="Times New Roman"/>
          <w:b w:val="false"/>
          <w:bCs w:val="false"/>
          <w:i w:val="false"/>
          <w:iCs w:val="false"/>
          <w:sz w:val="24"/>
          <w:szCs w:val="24"/>
        </w:rPr>
        <w:t xml:space="preserve">A detailed, point-by-point response to every reviewer comment accompanies this letter.</w:t>
      </w:r>
    </w:p>
    <w:p>
      <w:pPr>
        <w:spacing w:after="200"/>
      </w:pPr>
      <w:r>
        <w:rPr>
          <w:rFonts w:ascii="Times New Roman" w:cs="Times New Roman" w:eastAsia="Times New Roman" w:hAnsi="Times New Roman"/>
          <w:sz w:val="24"/>
          <w:szCs w:val="24"/>
        </w:rPr>
        <w:t xml:space="preserve">The revised manuscript is deposited on Zenodo (concept DOI, resolves to the latest version): </w:t>
      </w:r>
      <w:hyperlink w:history="1" r:id="rId5gymgrtgeiyezott1fbaj">
        <w:r>
          <w:rPr>
            <w:rFonts w:ascii="Times New Roman" w:cs="Times New Roman" w:eastAsia="Times New Roman" w:hAnsi="Times New Roman"/>
            <w:color w:val="0563C1"/>
            <w:sz w:val="24"/>
            <w:szCs w:val="24"/>
            <w:u w:val="single"/>
          </w:rPr>
          <w:t xml:space="preserve">https://doi.org/10.5281/zenodo.20945816</w:t>
        </w:r>
      </w:hyperlink>
      <w:r>
        <w:rPr>
          <w:rFonts w:ascii="Times New Roman" w:cs="Times New Roman" w:eastAsia="Times New Roman" w:hAnsi="Times New Roman"/>
          <w:sz w:val="24"/>
          <w:szCs w:val="24"/>
        </w:rPr>
        <w:t xml:space="preserve">. The companion simulation code is available on GitHub (</w:t>
      </w:r>
      <w:hyperlink w:history="1" r:id="rIdvc0tpyi6ihhmmq4wzsmz-">
        <w:r>
          <w:rPr>
            <w:rFonts w:ascii="Times New Roman" w:cs="Times New Roman" w:eastAsia="Times New Roman" w:hAnsi="Times New Roman"/>
            <w:color w:val="0563C1"/>
            <w:sz w:val="24"/>
            <w:szCs w:val="24"/>
            <w:u w:val="single"/>
          </w:rPr>
          <w:t xml:space="preserve">https://github.com/sandlerleon/trisomy21-il13-simulation</w:t>
        </w:r>
      </w:hyperlink>
      <w:r>
        <w:rPr>
          <w:rFonts w:ascii="Times New Roman" w:cs="Times New Roman" w:eastAsia="Times New Roman" w:hAnsi="Times New Roman"/>
          <w:sz w:val="24"/>
          <w:szCs w:val="24"/>
        </w:rPr>
        <w:t xml:space="preserve">) and is now separately deposited and citable on Zenodo (concept DOI): </w:t>
      </w:r>
      <w:hyperlink w:history="1" r:id="rIdgfddavdy3nzuqs_dkwboh">
        <w:r>
          <w:rPr>
            <w:rFonts w:ascii="Times New Roman" w:cs="Times New Roman" w:eastAsia="Times New Roman" w:hAnsi="Times New Roman"/>
            <w:color w:val="0563C1"/>
            <w:sz w:val="24"/>
            <w:szCs w:val="24"/>
            <w:u w:val="single"/>
          </w:rPr>
          <w:t xml:space="preserve">https://doi.org/10.5281/zenodo.22263958</w:t>
        </w:r>
      </w:hyperlink>
      <w:r>
        <w:rPr>
          <w:rFonts w:ascii="Times New Roman" w:cs="Times New Roman" w:eastAsia="Times New Roman" w:hAnsi="Times New Roman"/>
          <w:sz w:val="24"/>
          <w:szCs w:val="24"/>
        </w:rPr>
        <w:t xml:space="preserve">.</w:t>
      </w:r>
    </w:p>
    <w:p>
      <w:pPr>
        <w:spacing w:after="200"/>
        <w:jc w:val="left"/>
      </w:pPr>
      <w:r>
        <w:rPr>
          <w:rFonts w:ascii="Times New Roman" w:cs="Times New Roman" w:eastAsia="Times New Roman" w:hAnsi="Times New Roman"/>
          <w:b w:val="false"/>
          <w:bCs w:val="false"/>
          <w:i w:val="false"/>
          <w:iCs w:val="false"/>
          <w:sz w:val="24"/>
          <w:szCs w:val="24"/>
        </w:rPr>
        <w:t xml:space="preserve">This manuscript is not under consideration elsewhere, and there are no conflicts of interest to declare. We believe the revision meaningfully strengthens the rigor and honesty of the argument, and we hope it now meets the bar for publication in Immunobiology.</w:t>
      </w:r>
    </w:p>
    <w:p>
      <w:pPr>
        <w:spacing w:after="200" w:before="200"/>
        <w:jc w:val="left"/>
      </w:pPr>
      <w:r>
        <w:rPr>
          <w:rFonts w:ascii="Times New Roman" w:cs="Times New Roman" w:eastAsia="Times New Roman" w:hAnsi="Times New Roman"/>
          <w:b w:val="false"/>
          <w:bCs w:val="false"/>
          <w:i w:val="false"/>
          <w:iCs w:val="false"/>
          <w:sz w:val="24"/>
          <w:szCs w:val="24"/>
        </w:rPr>
        <w:t xml:space="preserve">Thank you again for your time and consideration.</w:t>
      </w:r>
    </w:p>
    <w:p>
      <w:r>
        <w:t>A note on completeness. In preparing this resubmission I re-audited the manuscript against both reviews and found four problems that neither reviewer raised: four of the seven submitted figures were never cited or captioned in the text (including the sensitivity analysis and composite index figures that bear directly on Reviewer 2’s points 3 and 5); the in-text “Figure 1” referred to a timeline file that was never uploaded; the manuscript had no Declarations section, so no competing-interest, funding, or formal data-availability statement; and it carried no generative-AI disclosure despite Reviewer 2 raising the question of AI-assisted text. All four are corrected in this version, and the manuscript now includes a complete set of figure captions and a Declarations section.</w:t>
      </w:r>
    </w:p>
    <w:p>
      <w:pPr>
        <w:spacing w:after="200" w:before="300"/>
        <w:jc w:val="left"/>
      </w:pPr>
      <w:r>
        <w:rPr>
          <w:rFonts w:ascii="Times New Roman" w:cs="Times New Roman" w:eastAsia="Times New Roman" w:hAnsi="Times New Roman"/>
          <w:b w:val="false"/>
          <w:bCs w:val="false"/>
          <w:i w:val="false"/>
          <w:iCs w:val="false"/>
          <w:sz w:val="24"/>
          <w:szCs w:val="24"/>
        </w:rPr>
        <w:t xml:space="preserve">Sincerely,</w:t>
      </w:r>
    </w:p>
    <w:p>
      <w:pPr>
        <w:spacing w:after="200"/>
        <w:jc w:val="left"/>
      </w:pPr>
      <w:r>
        <w:rPr>
          <w:rFonts w:ascii="Times New Roman" w:cs="Times New Roman" w:eastAsia="Times New Roman" w:hAnsi="Times New Roman"/>
          <w:b w:val="false"/>
          <w:bCs w:val="false"/>
          <w:i w:val="false"/>
          <w:iCs w:val="false"/>
          <w:sz w:val="24"/>
          <w:szCs w:val="24"/>
        </w:rPr>
        <w:t xml:space="preserve">Leon Sandler</w:t>
      </w:r>
    </w:p>
    <w:p>
      <w:pPr>
        <w:spacing w:after="200"/>
        <w:jc w:val="left"/>
      </w:pPr>
      <w:r>
        <w:rPr>
          <w:rFonts w:ascii="Times New Roman" w:cs="Times New Roman" w:eastAsia="Times New Roman" w:hAnsi="Times New Roman"/>
          <w:b w:val="false"/>
          <w:bCs w:val="false"/>
          <w:i w:val="false"/>
          <w:iCs w:val="false"/>
          <w:sz w:val="24"/>
          <w:szCs w:val="24"/>
        </w:rPr>
        <w:t xml:space="preserve">Independent Researcher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gymgrtgeiyezott1fbaj" Type="http://schemas.openxmlformats.org/officeDocument/2006/relationships/hyperlink" Target="https://doi.org/10.5281/zenodo.20945816" TargetMode="External"/><Relationship Id="rIdvc0tpyi6ihhmmq4wzsmz-" Type="http://schemas.openxmlformats.org/officeDocument/2006/relationships/hyperlink" Target="https://github.com/sandlerleon/trisomy21-il13-simulation" TargetMode="External"/><Relationship Id="rIdgfddavdy3nzuqs_dkwboh" Type="http://schemas.openxmlformats.org/officeDocument/2006/relationships/hyperlink" Target="https://doi.org/10.5281/zenodo.22263958" TargetMode="Externa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2026-09-04T00:22:41.644Z</dcterms:created>
  <dcterms:modified xsi:type="dcterms:W3CDTF">2026-09-04T00:22:41.645Z</dcterms:modified>
</cp:coreProperties>
</file>

<file path=docProps/custom.xml><?xml version="1.0" encoding="utf-8"?>
<Properties xmlns="http://schemas.openxmlformats.org/officeDocument/2006/custom-properties" xmlns:vt="http://schemas.openxmlformats.org/officeDocument/2006/docPropsVTypes"/>
</file>