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24"/>
          <w:szCs w:val="24"/>
        </w:rPr>
        <w:t xml:space="preserve">Response to Reviewers</w:t>
      </w:r>
    </w:p>
    <w:p>
      <w:pPr>
        <w:spacing w:after="60"/>
        <w:jc w:val="center"/>
      </w:pPr>
      <w:r>
        <w:rPr>
          <w:rFonts w:ascii="Times New Roman" w:cs="Times New Roman" w:eastAsia="Times New Roman" w:hAnsi="Times New Roman"/>
          <w:b w:val="false"/>
          <w:bCs w:val="false"/>
          <w:i w:val="false"/>
          <w:iCs w:val="false"/>
          <w:sz w:val="24"/>
          <w:szCs w:val="24"/>
        </w:rPr>
        <w:t xml:space="preserve">Manuscript IMBIO-D-26-00873</w:t>
      </w:r>
    </w:p>
    <w:p>
      <w:pPr>
        <w:spacing w:after="400"/>
        <w:jc w:val="center"/>
      </w:pPr>
      <w:r>
        <w:rPr>
          <w:rFonts w:ascii="Times New Roman" w:cs="Times New Roman" w:eastAsia="Times New Roman" w:hAnsi="Times New Roman"/>
          <w:b w:val="false"/>
          <w:bCs w:val="false"/>
          <w:i/>
          <w:iCs/>
          <w:sz w:val="24"/>
          <w:szCs w:val="24"/>
        </w:rPr>
        <w:t xml:space="preserve">“Neuroinflammatory Vulnerability Windows in Trisomy 21: A Hypothesis for Preclinical Investigation of IL-13/TSLP Modulation During Fetal Neurodevelopment”</w:t>
      </w:r>
    </w:p>
    <w:p>
      <w:pPr>
        <w:spacing w:after="200"/>
        <w:jc w:val="left"/>
      </w:pPr>
      <w:r>
        <w:rPr>
          <w:rFonts w:ascii="Times New Roman" w:cs="Times New Roman" w:eastAsia="Times New Roman" w:hAnsi="Times New Roman"/>
          <w:b w:val="false"/>
          <w:bCs w:val="false"/>
          <w:i w:val="false"/>
          <w:iCs w:val="false"/>
          <w:sz w:val="24"/>
          <w:szCs w:val="24"/>
        </w:rPr>
        <w:t xml:space="preserve">We thank both reviewers for a careful, substantive evaluation. Both raised conceptual points that go to the heart of the paper's argument rather than surface issues, and we have tried to engage each on those terms — including, where a point exposed a genuine limitation, saying so plainly rather than explaining it away. Below we address each comment in turn, indicating the specific section of the revised manuscript where the change appears.</w:t>
      </w:r>
    </w:p>
    <w:p>
      <w:pPr>
        <w:spacing w:after="160" w:before="300"/>
      </w:pPr>
      <w:r>
        <w:rPr>
          <w:rFonts w:ascii="Times New Roman" w:cs="Times New Roman" w:eastAsia="Times New Roman" w:hAnsi="Times New Roman"/>
          <w:b/>
          <w:bCs/>
          <w:color w:val="1F3864"/>
          <w:sz w:val="26"/>
          <w:szCs w:val="26"/>
        </w:rPr>
        <w:t xml:space="preserve">Reviewer #1</w:t>
      </w:r>
    </w:p>
    <w:p>
      <w:pPr>
        <w:spacing w:after="100" w:before="280"/>
      </w:pPr>
      <w:r>
        <w:rPr>
          <w:rFonts w:ascii="Times New Roman" w:cs="Times New Roman" w:eastAsia="Times New Roman" w:hAnsi="Times New Roman"/>
          <w:b/>
          <w:bCs/>
          <w:color w:val="8B0000"/>
          <w:sz w:val="24"/>
          <w:szCs w:val="24"/>
        </w:rPr>
        <w:t xml:space="preserve">Reviewer 1</w:t>
      </w:r>
    </w:p>
    <w:p>
      <w:pPr>
        <w:spacing w:after="160"/>
      </w:pPr>
      <w:r>
        <w:rPr>
          <w:rFonts w:ascii="Times New Roman" w:cs="Times New Roman" w:eastAsia="Times New Roman" w:hAnsi="Times New Roman"/>
          <w:i/>
          <w:iCs/>
          <w:sz w:val="24"/>
          <w:szCs w:val="24"/>
        </w:rPr>
        <w:t xml:space="preserve">8. Proposed Intervention Framework: Is Step 6 postnatal injection necessary or not based on serum biomarker levels? Please discuss that additional injection to prevent Alzheimer's disease after birth is required or not.</w:t>
      </w:r>
    </w:p>
    <w:p>
      <w:pPr>
        <w:spacing w:after="240"/>
        <w:ind w:left="360"/>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added two new paragraphs immediately following Step 6 in Section 8. We state explicitly that the present framework is deliberately silent on postnatal or adult dosing, including the related but distinct hypothesis that IL-13 blockade might mitigate neuroinflammation-driven Alzheimer's-type pathology in adults with T21. We explain why we keep these separate: the two ideas share a cytokine target but differ in mechanism, in risk-benefit calculus, and in consent context (a fetus cannot consent, so prenatal intervention is assessed against maternal-fetal risk, whereas a postnatal or adult intervention is assessed against the individual's own informed consent). We clarify that nothing in Step 6 should be read as proposing a postnatal treatment protocol; the actual proposal is narrower — serial inflammatory biomarker monitoring (IL-13, TSLP, interferon-stimulated gene expression) alongside the standard Bayley and Vineland developmental assessments through early childhood, which tests whether the prenatal intervention's effect on neuroinflammatory markers persists after birth and builds the longitudinal dataset a future, separately justified postnatal study would need.</w:t>
      </w:r>
    </w:p>
    <w:p>
      <w:pPr>
        <w:spacing w:after="100" w:before="280"/>
      </w:pPr>
      <w:r>
        <w:rPr>
          <w:rFonts w:ascii="Times New Roman" w:cs="Times New Roman" w:eastAsia="Times New Roman" w:hAnsi="Times New Roman"/>
          <w:b/>
          <w:bCs/>
          <w:color w:val="8B0000"/>
          <w:sz w:val="24"/>
          <w:szCs w:val="24"/>
        </w:rPr>
        <w:t xml:space="preserve">Reviewer 1</w:t>
      </w:r>
    </w:p>
    <w:p>
      <w:pPr>
        <w:spacing w:after="160"/>
      </w:pPr>
      <w:r>
        <w:rPr>
          <w:rFonts w:ascii="Times New Roman" w:cs="Times New Roman" w:eastAsia="Times New Roman" w:hAnsi="Times New Roman"/>
          <w:i/>
          <w:iCs/>
          <w:sz w:val="24"/>
          <w:szCs w:val="24"/>
        </w:rPr>
        <w:t xml:space="preserve">How important is anti-TSLP? Is just inhibiting IL-13 insufficient to block neuroinflammatory dysregulation? This point should be discussed.</w:t>
      </w:r>
    </w:p>
    <w:p>
      <w:pPr>
        <w:spacing w:after="240"/>
        <w:ind w:left="360"/>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added a new Section 4.3, “Single-Target IL-13 Blockade Versus Dual IL-13/TSLP Blockade.” It explains that IL-13 acts directly on IL-13Rα1-expressing microglia and oligodendrocyte precursor cells — close to the proposed neurodevelopmental endpoint — while TSLP acts further upstream, primarily on dendritic cells and ILC2s, amplifying the type 2 response that produces IL-13 in the first place. We frame zumilokibart and APG273 as two different bets rather than interchangeable options: zumilokibart carries the more mature pregnancy-adjacent safety profile via its mechanistic cousin dupilumab, while APG273 offers the theoretical advantage of damping the type 2 cascade upstream of both IL-13 and TSLP, which could matter if single-target IL-13 blockade proves insufficient. We do not think the present evidence supports choosing between them a priori, and we propose in Section 4.3 that the organoid work already outlined in Section 9.1 be designed as a head-to-head comparison of single versus dual blockade — which would generate the first empirical basis for answering this question directly.</w:t>
      </w:r>
    </w:p>
    <w:p>
      <w:pPr>
        <w:spacing w:after="100" w:before="280"/>
      </w:pPr>
      <w:r>
        <w:rPr>
          <w:rFonts w:ascii="Times New Roman" w:cs="Times New Roman" w:eastAsia="Times New Roman" w:hAnsi="Times New Roman"/>
          <w:b/>
          <w:bCs/>
          <w:color w:val="8B0000"/>
          <w:sz w:val="24"/>
          <w:szCs w:val="24"/>
        </w:rPr>
        <w:t xml:space="preserve">Reviewer 1</w:t>
      </w:r>
    </w:p>
    <w:p>
      <w:pPr>
        <w:spacing w:after="160"/>
      </w:pPr>
      <w:r>
        <w:rPr>
          <w:rFonts w:ascii="Times New Roman" w:cs="Times New Roman" w:eastAsia="Times New Roman" w:hAnsi="Times New Roman"/>
          <w:i/>
          <w:iCs/>
          <w:sz w:val="24"/>
          <w:szCs w:val="24"/>
        </w:rPr>
        <w:t xml:space="preserve">Since abnormal IL-13 upregulation plays a key role in the development of atopic dermatitis, the relationship between T21 and risk of atopic dermatitis should be shown with possible prophylactic and therapeutic intervention for atopic dermatitis by anti-IL13/TSLP therapy.</w:t>
      </w:r>
    </w:p>
    <w:p>
      <w:pPr>
        <w:spacing w:after="240"/>
        <w:ind w:left="360"/>
      </w:pPr>
      <w:r>
        <w:rPr>
          <w:rFonts w:ascii="Times New Roman" w:cs="Times New Roman" w:eastAsia="Times New Roman" w:hAnsi="Times New Roman"/>
          <w:b/>
          <w:bCs/>
          <w:sz w:val="24"/>
          <w:szCs w:val="24"/>
        </w:rPr>
        <w:t xml:space="preserve">Response: </w:t>
      </w:r>
      <w:r>
        <w:rPr>
          <w:rFonts w:ascii="Times New Roman" w:cs="Times New Roman" w:eastAsia="Times New Roman" w:hAnsi="Times New Roman"/>
          <w:sz w:val="24"/>
          <w:szCs w:val="24"/>
        </w:rPr>
        <w:t xml:space="preserve">We have added a new Section 3.5, “Peripheral Type 2 Inflammation and Atopic Disease: A Translational Parallel.” It notes that T21 carries a markedly elevated burden of autoimmune and allergic disease, including atopic dermatitis, a condition whose pathophysiology is substantially IL-13-driven, and that dupilumab's approval in atopic dermatitis is itself the clinical foundation the extended-interval zumilokibart and APG273 programmes were built on. We present this as an indirect, clinically observable readout of the same cytokine dysregulation the paper's central hypothesis targets in the fetal brain. We are careful, however, not to overstate this: no published study directly links elevated IL-13 in T21 to atopic dermatitis risk in this specific population, and we explicitly frame the atopic disease parallel as a secondary hypothesis worth testing alongside the primary one — for example, by asking whether T21 individuals with atopic dermatitis show a distinct neurodevelopmental or inflammatory-biomarker profile — rather than as independent evidence for the primary hypothesis.</w:t>
      </w:r>
    </w:p>
    <w:p>
      <w:pPr>
        <w:spacing w:after="160" w:before="300"/>
      </w:pPr>
      <w:r>
        <w:rPr>
          <w:rFonts w:ascii="Times New Roman" w:cs="Times New Roman" w:eastAsia="Times New Roman" w:hAnsi="Times New Roman"/>
          <w:b/>
          <w:bCs/>
          <w:color w:val="1F3864"/>
          <w:sz w:val="26"/>
          <w:szCs w:val="26"/>
        </w:rPr>
        <w:t xml:space="preserve">Reviewer #2</w:t>
      </w:r>
    </w:p>
    <w:p>
      <w:pPr>
        <w:spacing w:after="200"/>
        <w:jc w:val="left"/>
      </w:pPr>
      <w:r>
        <w:rPr>
          <w:rFonts w:ascii="Times New Roman" w:cs="Times New Roman" w:eastAsia="Times New Roman" w:hAnsi="Times New Roman"/>
          <w:b w:val="false"/>
          <w:bCs w:val="false"/>
          <w:i w:val="false"/>
          <w:iCs w:val="false"/>
          <w:sz w:val="24"/>
          <w:szCs w:val="24"/>
        </w:rPr>
        <w:t xml:space="preserve">We are grateful for the reviewer's generous framing of the paper's contribution, and for six comments that identified real gaps in the argument rather than stylistic preferences. We address each below; points 1 and 4 are closely related and are addressed together.</w:t>
      </w:r>
    </w:p>
    <w:p>
      <w:pPr>
        <w:spacing w:after="100" w:before="280"/>
      </w:pPr>
      <w:r>
        <w:rPr>
          <w:rFonts w:ascii="Times New Roman" w:cs="Times New Roman" w:eastAsia="Times New Roman" w:hAnsi="Times New Roman"/>
          <w:b/>
          <w:bCs/>
          <w:color w:val="8B0000"/>
          <w:sz w:val="24"/>
          <w:szCs w:val="24"/>
        </w:rPr>
        <w:t xml:space="preserve">Reviewer 2</w:t>
      </w:r>
    </w:p>
    <w:p>
      <w:pPr>
        <w:spacing w:after="160"/>
      </w:pPr>
      <w:r>
        <w:rPr>
          <w:rFonts w:ascii="Times New Roman" w:cs="Times New Roman" w:eastAsia="Times New Roman" w:hAnsi="Times New Roman"/>
          <w:i/>
          <w:iCs/>
          <w:sz w:val="24"/>
          <w:szCs w:val="24"/>
        </w:rPr>
        <w:t xml:space="preserve">1 &amp; 4. The author explicitly acknowledges that interferon (IFN) signaling hyperactivation is the “strongest biological” driver of T21 neuroinflammation, while IL-13/TSLP are merely downstream effectors... is extinguishing the ‘smoke’ (IL-13/TSLP) while leaving the ‘fire’ (IFN) burning sufficient to significantly alter outcomes... Are there other disease models demonstrating that blocking downstream cytokines is sufficient to alter tissue outcomes in the presence of upstream drivers?</w:t>
      </w:r>
    </w:p>
    <w:p>
      <w:pPr>
        <w:spacing w:after="240"/>
        <w:ind w:left="360"/>
      </w:pPr>
      <w:r>
        <w:t>Response: This is the most important objection in either review, and we have added three new paragraphs to the end of Section 4.1 that engage it directly rather than as a footnote. We restate the objection in the reviewer's own terms and say plainly that we take it seriously rather than treating it as a rhetorical hurdle. We then answer the reviewer's direct question about precedent: rheumatoid arthritis has no single corrected upstream cause, yet TNF-α blockade — a single downstream effector — produces substantial, durable clinical benefit despite the underlying autoimmune predisposition remaining entirely intact; psoriasis shows the same pattern with IL-17/IL-23 blockade. Both are chronic, structurally-driven inflammatory diseases where clinicians target a clinically tractable downstream node rather than waiting for an upstream cure. We are explicit that this establishes only that ‘the upstream cause is untouched’ is not, by itself, a reason to expect downstream blockade to fail — not that it guarantees success in T21 neurodevelopment, since the analogy is between disease categories rather than a mechanistic proof that transfers automatically. We close by naming this as exactly the open question the framework is built to test, and we cross-reference Falsifiability Criterion 5 in Section 10 (failure to alter microglial activation during the vulnerability windows despite IL-13/TSLP blockade) as the specific experimental result that would catch a negative answer. Following the reviewer’s question about whether downstream blockade can be sufficient, we have also added a subsection, “Competing explanations for the interferon–IL-13 relationship,” which sets out the four structurally different relationships that could hold between interferon hyperactivation and IL-13/TSLP signalling — obligate relay, parallel independent pathways, reverse causation, and a shared upstream driver (DYRK1A) — and states what each predicts. We do not claim the evidence favours the most favourable of these. The point of setting them out is that the first two predict a measurable reduction in microglial activation under blockade while the second two do not, so the organoid and Ts65Dn/Dp16 experiments in Section 9 discriminate between the pairs rather than simply testing whether the intervention works. We think this is a more useful answer to the reviewer’s question than the precedent argument alone, because it identifies the experiment that would settle it.</w:t>
      </w:r>
    </w:p>
    <w:p>
      <w:pPr>
        <w:spacing w:after="100" w:before="280"/>
      </w:pPr>
      <w:r>
        <w:rPr>
          <w:rFonts w:ascii="Times New Roman" w:cs="Times New Roman" w:eastAsia="Times New Roman" w:hAnsi="Times New Roman"/>
          <w:b/>
          <w:bCs/>
          <w:color w:val="8B0000"/>
          <w:sz w:val="24"/>
          <w:szCs w:val="24"/>
        </w:rPr>
        <w:t xml:space="preserve">Reviewer 2</w:t>
      </w:r>
    </w:p>
    <w:p>
      <w:pPr>
        <w:spacing w:after="160"/>
      </w:pPr>
      <w:r>
        <w:rPr>
          <w:rFonts w:ascii="Times New Roman" w:cs="Times New Roman" w:eastAsia="Times New Roman" w:hAnsi="Times New Roman"/>
          <w:i/>
          <w:iCs/>
          <w:sz w:val="24"/>
          <w:szCs w:val="24"/>
        </w:rPr>
        <w:t xml:space="preserve">2. Could the systemic use of anti-IL-13 drugs in early pregnancy (the first vulnerability window, weeks 8–16) disrupt maternal-fetal tolerance by excessively suppressing the Th2 response, thereby introducing risks such as miscarriage, preterm birth, or preeclampsia?</w:t>
      </w:r>
    </w:p>
    <w:p>
      <w:pPr>
        <w:spacing w:after="240"/>
        <w:ind w:left="360"/>
      </w:pPr>
      <w:r>
        <w:t>Response: We agree this was underweighted in the original submission and have added a new closing paragraph to Section 3.3 that states the risk plainly: systemic maternal IL-13 suppression during Window I could, in principle, disrupt the physiological Th2-dominant tolerance environment the decidua depends on in early pregnancy. We are explicit that none of the pregnancy-safety data already cited in the manuscript resolves this — the dupilumab and omalizumab experience comes from mid-to-late-pregnancy exposure in women being treated for their own atopic or asthmatic disease, not from first-trimester dosing specifically intended to lower an already-elevated Th2/IL-13 tone in an otherwise normal pregnancy. We name the specific risks the reviewer raises (miscarriage, preterm birth, preeclampsia) and state directly that we regard this as the single largest safety uncertainty in Window I specifically, which is also why the preclinical roadmap in Section 9 places rodent and placental perfusion studies before any suggestion of human dosing at this gestational stage. In addition, we have added a seventh falsifiability criterion (Section 10) that is specific to this risk: disruption of early-pregnancy maternal–fetal tolerance. The existing six criteria all describe ways the hypothesis could prove useless; this one describes how it would be shown to be harmful — increased resorption or fetal loss, impaired decidualisation or spiral-artery remodelling, or a preeclampsia-like phenotype at Window I exposures that do not produce those effects later in gestation. We state explicitly that it is independent of efficacy: a neurodevelopmental benefit in surviving offspring would not offset it. A framework proposing intervention in pregnancy should say in advance what would count as evidence of harm, and the original submission did not.</w:t>
      </w:r>
    </w:p>
    <w:p>
      <w:pPr>
        <w:spacing w:after="100" w:before="280"/>
      </w:pPr>
      <w:r>
        <w:rPr>
          <w:rFonts w:ascii="Times New Roman" w:cs="Times New Roman" w:eastAsia="Times New Roman" w:hAnsi="Times New Roman"/>
          <w:b/>
          <w:bCs/>
          <w:color w:val="8B0000"/>
          <w:sz w:val="24"/>
          <w:szCs w:val="24"/>
        </w:rPr>
        <w:t xml:space="preserve">Reviewer 2</w:t>
      </w:r>
    </w:p>
    <w:p>
      <w:pPr>
        <w:spacing w:after="160"/>
      </w:pPr>
      <w:r>
        <w:rPr>
          <w:rFonts w:ascii="Times New Roman" w:cs="Times New Roman" w:eastAsia="Times New Roman" w:hAnsi="Times New Roman"/>
          <w:i/>
          <w:iCs/>
          <w:sz w:val="24"/>
          <w:szCs w:val="24"/>
        </w:rPr>
        <w:t xml:space="preserve">3. The simulation results... are presented in the Abstract, Results, and Discussion in a way that may lead readers... to mistake them for experimental data... the simulation's prediction of only a ‘2.2% improvement in the Neurodevelopmental Index (NDI)’ would be extremely difficult to detect in animal experiments and may actually undermine the appeal of the hypothesis. I strongly recommend that the simulation results be clearly categorized as ‘in silico modeling and model construction’... rather than as primary evidence supporting the hypothesis's validity.</w:t>
      </w:r>
    </w:p>
    <w:p>
      <w:pPr>
        <w:spacing w:after="240"/>
        <w:ind w:left="360"/>
      </w:pPr>
      <w:r>
        <w:t>Response: We agree this was a real framing problem and have made two changes. First, the Abstract now states explicitly that the companion computational model ‘is included as an exploratory scaffold for experimental design, not as evidence for the hypothesis,’ with its parameters described as illustrative placeholders whose outputs should not be read as predictions of clinical effect — removing the earlier juxtaposition the reviewer flagged between simulation output and literature evidence. Second, we rewrote the opening of Section 13 to lead with the same framing before describing the model's structure, and we added a new Section 13.4, ‘Interpretation: An Exploratory Scaffold, Not a Predictive Model.’ That section addresses the NDI output directly: we state that neither a dismissive nor a credulous reading of it is correct, that the NDI is an unvalidated constructed aggregate with no established clinical meaning at the absolute-value level, and — having caught that an earlier draft reported its magnitude in inconsistent units across two sentences — we now deliberately withhold any numerical headline figure, since no shift in an unvalidated index of this kind is evidence of a clinical effect of that magnitude. We then identify the level of claim the simulation actually supports — that the direction of effect (reduced microglial activation, improved downstream marker proxies) was positive across every sample in the Monte Carlo sensitivity analysis — and state that this speaks to internal consistency of the model's structure, not to the correctness of the underlying biology. We frame the model's real value, per the reviewer's suggestion, as an iteratively updatable platform for optimizing future experimental design (e.g., dosing interval selection) rather than as evidence for the hypothesis. We have since taken the reviewer’s suggestion one step further. Section 13.4 now states the question the model can actually answer — not “how much benefit does it predict” but “over what parameter regime does the predicted benefit survive, and where does it collapse” — and names two boundaries that follow from it: benefit depends far more on achieving fetal exposure inside Windows II and III than on assumed antibody potency, which argues that placental transfer timing is the first parameter worth pinning down empirically; and the effect disappears entirely when the assumed microglial resolution deficit approaches the euploid value, which is a testable precondition on the choice of preclinical model. Both statements are useful for experimental design and neither depends on the NDI carrying a calibrated clinical meaning. Finally, and most importantly, the reviewer’s specific concern about the size of the predicted effect led us to re-examine how that number was produced, and we found a defect in the model. The synaptic-density and oligodendrocyte-maturation equations carried loss terms that did not scale with the remaining pool, so under the T21 parameterisation both indices were driven below zero — physically meaningless — and the composite index then clamped them to zero, returning identical values for treated and untreated in two of the three windows. The small effect the reviewer questioned was largely an artifact of that clamp. The same defect also allowed the euploid reference trajectory to grow without bound, so the normalisation was drifting as well. Both equations are now first-order in the state variable, which gives a bounded steady state in each direction and removes the clamping. We are grateful for the comment: it is the reason we looked, and we would not have found it otherwise. The corrected behaviour is described in Section 13.4, and we note there explicitly that the correction happens to favour the hypothesis under test, which is exactly when a modelling change should be declared rather than absorbed quietly. It rests on the argument that a negative synaptic density is not interpretable, not on the size of the effect it recovers.</w:t>
      </w:r>
    </w:p>
    <w:p>
      <w:pPr>
        <w:spacing w:after="100" w:before="280"/>
      </w:pPr>
      <w:r>
        <w:rPr>
          <w:rFonts w:ascii="Times New Roman" w:cs="Times New Roman" w:eastAsia="Times New Roman" w:hAnsi="Times New Roman"/>
          <w:b/>
          <w:bCs/>
          <w:color w:val="8B0000"/>
          <w:sz w:val="24"/>
          <w:szCs w:val="24"/>
        </w:rPr>
        <w:t xml:space="preserve">Reviewer 2</w:t>
      </w:r>
    </w:p>
    <w:p>
      <w:pPr>
        <w:spacing w:after="160"/>
      </w:pPr>
      <w:r>
        <w:rPr>
          <w:rFonts w:ascii="Times New Roman" w:cs="Times New Roman" w:eastAsia="Times New Roman" w:hAnsi="Times New Roman"/>
          <w:i/>
          <w:iCs/>
          <w:sz w:val="24"/>
          <w:szCs w:val="24"/>
        </w:rPr>
        <w:t xml:space="preserve">5. In the computational simulation, the key ‘microglial natural resolution rate’ was reduced by 40% to model T21. What is the biological basis for this specific value? If changes to this parameter significantly affect the simulation outcomes... does this indicate that the model's predictions are highly sensitive to parameters that are currently uncertain?</w:t>
      </w:r>
    </w:p>
    <w:p>
      <w:pPr>
        <w:spacing w:after="240"/>
        <w:ind w:left="360"/>
      </w:pPr>
      <w:r>
        <w:t>Response: We have added a direct hedge to this parameter where it is introduced in Section 13.2, noting that the 40% figure is a placeholder magnitude loosely informed by the chronic microglial activation reported in DS mouse models by Flores-Aguilar et al., rather than a fitted or empirically validated value, and pointing the reader to the new Section 13.4 for the sensitivity discussion. In 13.4 we answer the reviewer's second question directly: yes, the model's outputs are sensitive to parameter uncertainty, which is precisely why the Monte Carlo sensitivity analysis varies this and seven other parameters by ±20–25% — the finding we report is that the direction of the treatment effect is preserved across that full range of uncertainty, which is a weaker and more honest claim than reporting a single point estimate as if it were precise. With the corrected marker equations the Monte Carlo direction of effect remains positive in all 100 samples, but we now also report the treated and untreated 90% intervals for the gestation-wide mean index, which overlap substantially. We would rather state that overlap than omit it: the model does not separate treated from untreated with confidence at the level of a single simulated pregnancy, and never could.</w:t>
      </w:r>
    </w:p>
    <w:p>
      <w:pPr>
        <w:spacing w:after="100" w:before="280"/>
      </w:pPr>
      <w:r>
        <w:rPr>
          <w:rFonts w:ascii="Times New Roman" w:cs="Times New Roman" w:eastAsia="Times New Roman" w:hAnsi="Times New Roman"/>
          <w:b/>
          <w:bCs/>
          <w:color w:val="8B0000"/>
          <w:sz w:val="24"/>
          <w:szCs w:val="24"/>
        </w:rPr>
        <w:t xml:space="preserve">Reviewer 2</w:t>
      </w:r>
    </w:p>
    <w:p>
      <w:pPr>
        <w:spacing w:after="160"/>
      </w:pPr>
      <w:r>
        <w:rPr>
          <w:rFonts w:ascii="Times New Roman" w:cs="Times New Roman" w:eastAsia="Times New Roman" w:hAnsi="Times New Roman"/>
          <w:i/>
          <w:iCs/>
          <w:sz w:val="24"/>
          <w:szCs w:val="24"/>
        </w:rPr>
        <w:t xml:space="preserve">6. The text of your manuscript reads very much like it was generated by AI... the manuscript text would benefit from thorough manual revision.</w:t>
      </w:r>
    </w:p>
    <w:p>
      <w:pPr>
        <w:spacing w:after="240"/>
        <w:ind w:left="360"/>
      </w:pPr>
      <w:r>
        <w:t>Response: We have carried out a full manual line-edit pass across the sections most affected by this revision and beyond, varying sentence structure and removing repetitive stock transitions in favour of connected argumentative prose that states uncertainty directly rather than asserting confidence uniformly. On re-checking the manuscript for this resubmission we found that five such transitions had survived the first pass; these have now been removed, and we mention it because the reviewer’s point was well taken and we would rather report the miss than claim a cleaner sweep than we achieved. We also removed three reference-list entries ([44]–[46] in the original submission) covering unrelated prior work in neural architecture search, graphene electronics, and superconductivity — topically irrelevant self-citations that were very likely contributing to the impression the reviewer describes. Separately, and prompted by the same comment, we have added a formal Declaration of generative AI and AI-assisted technologies in the writing process, which the original submission omitted; it states specifically what the tool was used for and what it was not.</w:t>
      </w:r>
    </w:p>
    <w:p>
      <w:pPr>
        <w:spacing w:after="160" w:before="300"/>
      </w:pPr>
      <w:r>
        <w:rPr>
          <w:rFonts w:ascii="Times New Roman" w:cs="Times New Roman" w:eastAsia="Times New Roman" w:hAnsi="Times New Roman"/>
          <w:b/>
          <w:bCs/>
          <w:color w:val="1F3864"/>
          <w:sz w:val="26"/>
          <w:szCs w:val="26"/>
        </w:rPr>
        <w:t xml:space="preserve">Additional correction</w:t>
      </w:r>
    </w:p>
    <w:p>
      <w:pPr>
        <w:spacing w:after="200"/>
        <w:jc w:val="left"/>
      </w:pPr>
      <w:r>
        <w:t>In preparing this revision we identified and corrected four further problems that no reviewer raised. First, the Data Availability Statement said the simulation code was available on Zenodo when only the manuscript had been deposited; the code is now on GitHub and separately deposited on Zenodo as a citable software record. Second, and most consequentially, four of the seven figures submitted with the original manuscript — FcRn transfer dynamics, the Monte Carlo sensitivity analysis, the neurodevelopmental marker proxies, and the composite NDI — were never cited or captioned anywhere in the text. Two of them are precisely the figures that bear on Reviewer 2’s points 3 and 5, so the revision now cites all seven in Section 13.3 and adds a full set of figure captions. Third, the in-text reference to “Figure 1” pointed to a timeline SVG that was never actually uploaded with the submission; that sentence now points to the figures that do exist. Fourth, the manuscript carried no Declarations section at all — no competing-interest statement, no funding statement, and no formal data-availability heading; these have been added. Fifth, re-running the model surfaced a housekeeping error: the script wrote its summary under a filename that differed from the summary file attached to the submission, so re-runs left a stale duplicate rather than updating the attached file. The script now writes the same filename, and the attached summary reflects the corrected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2026-09-04T00:22:41.652Z</dcterms:created>
  <dcterms:modified xsi:type="dcterms:W3CDTF">2026-09-04T00:22:41.652Z</dcterms:modified>
</cp:coreProperties>
</file>

<file path=docProps/custom.xml><?xml version="1.0" encoding="utf-8"?>
<Properties xmlns="http://schemas.openxmlformats.org/officeDocument/2006/custom-properties" xmlns:vt="http://schemas.openxmlformats.org/officeDocument/2006/docPropsVTypes"/>
</file>