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jc w:val="center"/>
        <w:rPr/>
      </w:pPr>
      <w:r>
        <w:rPr>
          <w:rFonts w:eastAsia="Arial" w:cs="Arial"/>
          <w:b/>
          <w:bCs/>
          <w:color w:val="1F3864"/>
          <w:sz w:val="32"/>
          <w:szCs w:val="32"/>
          <w:lang w:val="en-US"/>
        </w:rPr>
        <w:t>Neuroinflammatory Vulnerability Windows in Trisomy 21: A Hypothesis for Preclinical Investigation of IL-13/TSLP Modulation During Fetal Neurodevelopment</w:t>
      </w:r>
    </w:p>
    <w:p>
      <w:pPr>
        <w:pStyle w:val="Normal"/>
        <w:spacing w:before="0" w:after="80"/>
        <w:jc w:val="center"/>
        <w:rPr/>
      </w:pPr>
      <w:r>
        <w:rPr>
          <w:rFonts w:eastAsia="Arial" w:cs="Arial"/>
          <w:i/>
          <w:iCs/>
          <w:sz w:val="22"/>
          <w:szCs w:val="22"/>
          <w:lang w:val="en-US"/>
        </w:rPr>
        <w:t>Leon Sandler</w:t>
      </w:r>
    </w:p>
    <w:p>
      <w:pPr>
        <w:pStyle w:val="Normal"/>
        <w:spacing w:before="0" w:after="80"/>
        <w:jc w:val="center"/>
        <w:rPr/>
      </w:pPr>
      <w:r>
        <w:rPr>
          <w:rFonts w:eastAsia="Arial" w:cs="Arial"/>
          <w:sz w:val="20"/>
          <w:szCs w:val="20"/>
          <w:lang w:val="en-US"/>
        </w:rPr>
        <w:t>Independent Researcher • Northbrook, IL, USA • leonsandler@alumni.swinburne.edu</w:t>
      </w:r>
    </w:p>
    <w:p>
      <w:pPr>
        <w:pStyle w:val="Normal"/>
        <w:spacing w:before="0" w:after="80"/>
        <w:jc w:val="center"/>
        <w:rPr/>
      </w:pPr>
      <w:r>
        <w:rPr>
          <w:rFonts w:eastAsia="Arial" w:cs="Arial"/>
          <w:sz w:val="20"/>
          <w:szCs w:val="20"/>
          <w:lang w:val="en-US"/>
        </w:rPr>
        <w:t>linkedin.com/in/-leon-sandler</w:t>
      </w:r>
    </w:p>
    <w:p>
      <w:pPr>
        <w:pStyle w:val="Normal"/>
        <w:pBdr>
          <w:bottom w:val="single" w:sz="6" w:space="1" w:color="2E5FA3"/>
        </w:pBdr>
        <w:spacing w:before="0" w:after="260"/>
        <w:rPr/>
      </w:pPr>
      <w:r>
        <w:rPr/>
      </w:r>
    </w:p>
    <w:p>
      <w:pPr>
        <w:pStyle w:val="Heading1"/>
        <w:rPr/>
      </w:pPr>
      <w:r>
        <w:rPr>
          <w:rFonts w:eastAsia="Arial" w:cs="Arial"/>
          <w:b/>
          <w:bCs/>
          <w:lang w:val="en-US"/>
        </w:rPr>
        <w:t>Ethical Statement</w:t>
      </w:r>
    </w:p>
    <w:p>
      <w:pPr>
        <w:pStyle w:val="Normal"/>
        <w:spacing w:before="0" w:after="240"/>
        <w:rPr/>
      </w:pPr>
      <w:r>
        <w:rPr>
          <w:rFonts w:eastAsia="Arial" w:cs="Arial"/>
          <w:i/>
          <w:iCs/>
          <w:sz w:val="22"/>
          <w:szCs w:val="22"/>
          <w:lang w:val="en-US"/>
        </w:rPr>
        <w:t>This paper does not propose preventing the birth of individuals with trisomy 21, nor does it suggest that Down syndrome is a condition requiring elimination. The author affirms without reservation the full dignity, value, and personhood of all individuals with trisomy 21. This work explores whether neuroinflammatory burden — a secondary, potentially modifiable factor — could be reduced to improve neurodevelopmental outcomes for individuals who will be born with this condition. The analogy is folate supplementation during pregnancy, which reduces the severity of neural tube defects without suggesting that neural tube development is undesirable. This is a theoretical scientific framework to guide preclinical investigations, not a clinical recommendation. Future research must involve disability rights advocates, self-advocates with Down syndrome, bioethicists, and affected families as codesigners from the outset.</w:t>
      </w:r>
    </w:p>
    <w:p>
      <w:pPr>
        <w:pStyle w:val="Heading1"/>
        <w:rPr/>
      </w:pPr>
      <w:r>
        <w:rPr>
          <w:rFonts w:eastAsia="Arial" w:cs="Arial"/>
          <w:b/>
          <w:bCs/>
          <w:lang w:val="en-US"/>
        </w:rPr>
        <w:t>Abstract</w:t>
      </w:r>
    </w:p>
    <w:p>
      <w:pPr>
        <w:pStyle w:val="Normal"/>
        <w:spacing w:before="0" w:after="160"/>
        <w:rPr/>
      </w:pPr>
      <w:r>
        <w:rPr>
          <w:rFonts w:eastAsia="Arial" w:cs="Arial"/>
          <w:sz w:val="22"/>
          <w:szCs w:val="22"/>
          <w:lang w:val="en-US"/>
        </w:rPr>
        <w:t>Trisomy 21 (Down syndrome) affects approximately 1 in 700 live births and produces a strikingly variable neurodevelopmental profile that chromosomal dosage alone does not explain. A growing body of work points to chronic interferon, interleukin-13 (IL-13), and thymic stromal lymphopoietin (TSLP) hyperactivity—driven by the overexpression of several chromosome 21 immune genes—as a secondary, potentially modifiable contributor to that variability. Here, we propose the concept of neuroinflammatory vulnerability windows: three partially overlapping candidate neurodevelopmental vulnerability windows (early neurogenesis, weeks 8–16; synaptic pruning, weeks 20–28; myelination onset, weeks 28–36) during which cytokine dysregulation may exert its greatest influence on circuit formation. The 2026 announcement of AbbVie’s proposed acquisition of Apogee Therapeutics, built around zumilokibart (an IL-13-specific monoclonal antibody with 3–6 month dosing intervals), and the concurrent development of APG273 (dual IL-13/TSLP blockade), make this a timely moment to formally layout the hypothesis, even though it remains entirely untested at T21. We constructed a mechanistic evidence chain from the T21 genotype to a candidate therapeutic target, situated IL-13/TSLP blockade against competing approaches and against upstream interferon blockade specifically, reviewed precedents for prenatal biologic intervention in other conditions, and proposed a staged preclinical research program together with explicit falsifiability criteria. A companion computational model — a coupled pharmacokinetic/pharmacodynamic simulation — is included as an exploratory scaffold for experimental design, not as evidence for the hypothesis; its parameters are illustrative placeholders, and its outputs should not be read as predictions of clinical effect. We conclude that the hypothesis is testable in tractable preclinical systems and that zumilokibart-class agents are, at present, the most pharmacologically realistic candidates with which to test it, while emphasizing that IL-13/TSLP blockade targets a downstream node in a cascade whose upstream driver — interferon receptor triplication — is not addressed by this approach, a limitation we discuss explicitly.</w:t>
      </w:r>
    </w:p>
    <w:p>
      <w:pPr>
        <w:pStyle w:val="Normal"/>
        <w:spacing w:before="0" w:after="240"/>
        <w:rPr/>
      </w:pPr>
      <w:r>
        <w:rPr>
          <w:rFonts w:eastAsia="Arial" w:cs="Arial"/>
          <w:b/>
          <w:bCs/>
          <w:sz w:val="22"/>
          <w:szCs w:val="22"/>
          <w:lang w:val="en-US"/>
        </w:rPr>
        <w:t xml:space="preserve">Keywords: </w:t>
      </w:r>
      <w:r>
        <w:rPr>
          <w:rFonts w:eastAsia="Arial" w:cs="Arial"/>
          <w:sz w:val="22"/>
          <w:szCs w:val="22"/>
          <w:lang w:val="en-US"/>
        </w:rPr>
        <w:t>trisomy 21, Down syndrome, neuroinflammation, IL-13, TSLP, Zumilokibart, APG273, dupilumab, prenatal intervention, neuroinflammatory vulnerability windows, fetal neurodevelopment, interferon signaling, FcRn placental transfer, critical periods, Ts65Dn mouse model, DYRK1A, translational hypothesis</w:t>
      </w:r>
    </w:p>
    <w:p>
      <w:pPr>
        <w:pStyle w:val="Normal"/>
        <w:pBdr>
          <w:bottom w:val="single" w:sz="2" w:space="1" w:color="CCCCCC"/>
        </w:pBdr>
        <w:spacing w:before="0" w:after="240"/>
        <w:rPr/>
      </w:pPr>
      <w:r>
        <w:rPr/>
      </w:r>
    </w:p>
    <w:p>
      <w:pPr>
        <w:pStyle w:val="Heading1"/>
        <w:rPr/>
      </w:pPr>
      <w:r>
        <w:rPr>
          <w:rFonts w:eastAsia="Arial" w:cs="Arial"/>
          <w:b/>
          <w:bCs/>
          <w:lang w:val="en-US"/>
        </w:rPr>
        <w:t>1. Introduction</w:t>
      </w:r>
    </w:p>
    <w:p>
      <w:pPr>
        <w:pStyle w:val="Normal"/>
        <w:spacing w:before="0" w:after="160"/>
        <w:rPr/>
      </w:pPr>
      <w:r>
        <w:rPr>
          <w:rFonts w:eastAsia="Arial" w:cs="Arial"/>
          <w:sz w:val="22"/>
          <w:szCs w:val="22"/>
          <w:lang w:val="en-US"/>
        </w:rPr>
        <w:t>Down syndrome (DS), caused by trisomy of chromosome 21 (T21), affects approximately 1 in 700 live births and is the most common chromosomal cause of intellectual disability [1,2]. Despite sharing the same genetic anomaly, individuals with T21 exhibit a remarkably wide spectrum of cognitive and neurodevelopmental outcomes—from mild learning differences to significant intellectual disability [3]. This phenotypic variability is poorly explained by chromosomal dosage alone and points to secondary biological modifiers, of which neuroinflammation is increasingly recognized as a principal factor [4,5].</w:t>
      </w:r>
    </w:p>
    <w:p>
      <w:pPr>
        <w:pStyle w:val="Normal"/>
        <w:spacing w:before="0" w:after="160"/>
        <w:rPr/>
      </w:pPr>
      <w:r>
        <w:rPr>
          <w:lang w:val="en-US"/>
        </w:rPr>
        <w:t>Multiple genes on chromosome 21—including four interferon receptor genes (IFNAR1, IFNAR2, IFNGR2, and IL10RB) and the immune regulators DYRK1A and RCAN1—are overexpressed as a direct consequence of triplication [6,7]. This results in constitutive hyperactivation of interferon signaling pathways and chronic elevation of proinflammatory cytokines, including IL-13 and IL-4 [8]. This inflammatory dysregulation begins from the earliest stages of fetal development: T21 placentae overexpress IFNAR1, IFNAR2, and SOD1 in multiple mouse models [9].</w:t>
      </w:r>
    </w:p>
    <w:p>
      <w:pPr>
        <w:pStyle w:val="Normal"/>
        <w:spacing w:before="0" w:after="160"/>
        <w:rPr/>
      </w:pPr>
      <w:r>
        <w:rPr>
          <w:rFonts w:eastAsia="Arial" w:cs="Arial"/>
          <w:sz w:val="22"/>
          <w:szCs w:val="22"/>
          <w:lang w:val="en-US"/>
        </w:rPr>
        <w:t>The June 2026 announcement of AbbVie’s proposed $10.9 billion acquisition of Apogee Therapeutics, centered on zumilokibart — an IL-13-specific monoclonal antibody demonstrating sustained efficacy at 3–6 month dosing intervals in phase 2 trials — renders this theoretical framework both timely and pharmacologically relevant. Extended dosing intervals are particularly important in the prenatal context, where minimizing intervention frequency is paramount for safety and clinical acceptability.</w:t>
      </w:r>
    </w:p>
    <w:p>
      <w:pPr>
        <w:pStyle w:val="Heading1"/>
        <w:rPr/>
      </w:pPr>
      <w:r>
        <w:rPr>
          <w:rFonts w:eastAsia="Arial" w:cs="Arial"/>
          <w:b/>
          <w:bCs/>
          <w:lang w:val="en-US"/>
        </w:rPr>
        <w:t>2. Mechanistic Evidence Chain</w:t>
      </w:r>
    </w:p>
    <w:p>
      <w:pPr>
        <w:pStyle w:val="Normal"/>
        <w:spacing w:before="0" w:after="160"/>
        <w:rPr/>
      </w:pPr>
      <w:r>
        <w:rPr>
          <w:rFonts w:eastAsia="Arial" w:cs="Arial"/>
          <w:sz w:val="22"/>
          <w:szCs w:val="22"/>
          <w:lang w:val="en-US"/>
        </w:rPr>
        <w:t>A key strength of a translational hypothesis paper is the transparency of its mechanistic reasoning. Table 1 presents each step of the proposed causal chain, the supporting evidence, and the strength of that evidence classified by source (human, animal model, or cell/in vitro). This table is intended to allow reviewers and readers to immediately identify the strongest and weakest links in the reasoning.</w:t>
      </w:r>
    </w:p>
    <w:p>
      <w:pPr>
        <w:pStyle w:val="Normal"/>
        <w:spacing w:before="0" w:after="120"/>
        <w:rPr/>
      </w:pPr>
      <w:r>
        <w:rPr/>
      </w:r>
    </w:p>
    <w:p>
      <w:pPr>
        <w:pStyle w:val="Normal"/>
        <w:spacing w:before="0" w:after="100"/>
        <w:rPr/>
      </w:pPr>
      <w:r>
        <w:rPr>
          <w:rFonts w:eastAsia="Arial" w:cs="Arial"/>
          <w:b/>
          <w:bCs/>
          <w:sz w:val="20"/>
          <w:szCs w:val="20"/>
          <w:lang w:val="en-US"/>
        </w:rPr>
        <w:t>Table 1: Mechanistic Evidence Chain — Trisomy 21 Neuroinflammation to IL-13/TSLP Blockade</w:t>
      </w:r>
    </w:p>
    <w:tbl>
      <w:tblPr>
        <w:tblW w:w="9360" w:type="dxa"/>
        <w:jc w:val="left"/>
        <w:tblInd w:w="122" w:type="dxa"/>
        <w:tblLayout w:type="fixed"/>
        <w:tblCellMar>
          <w:top w:w="80" w:type="dxa"/>
          <w:left w:w="120" w:type="dxa"/>
          <w:bottom w:w="80" w:type="dxa"/>
          <w:right w:w="120" w:type="dxa"/>
        </w:tblCellMar>
      </w:tblPr>
      <w:tblGrid>
        <w:gridCol w:w="2600"/>
        <w:gridCol w:w="3200"/>
        <w:gridCol w:w="1997"/>
        <w:gridCol w:w="1563"/>
      </w:tblGrid>
      <w:tr>
        <w:trPr/>
        <w:tc>
          <w:tcPr>
            <w:tcW w:w="2600"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Mechanistic Step</w:t>
            </w:r>
          </w:p>
        </w:tc>
        <w:tc>
          <w:tcPr>
            <w:tcW w:w="3200"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Evidence</w:t>
            </w:r>
          </w:p>
        </w:tc>
        <w:tc>
          <w:tcPr>
            <w:tcW w:w="1997"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Evidence Source</w:t>
            </w:r>
          </w:p>
        </w:tc>
        <w:tc>
          <w:tcPr>
            <w:tcW w:w="1563"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Strength</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T21 → IFNR gene triplication → constitutive IFN hyperactivation</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Four IFN receptor genes on chr21; OBSCs from Dp16 mice show hypersensitive IFN response; whole-blood transcriptomics confirm chronic IFN signature in people with DS [6,7,12]</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 + Animal</w:t>
            </w:r>
          </w:p>
        </w:tc>
        <w:tc>
          <w:tcPr>
            <w:tcW w:w="1563"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Strong</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T21 → IL-13 and IL-4 dysregulation</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Rachubinski et al. 2021 documents IL-13 and IL-4 dysregulation in DS with synaptic implications [5]; Malle et al. 2021 confirms autoimmune cytokine elevation in DS [4]</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w:t>
            </w:r>
          </w:p>
        </w:tc>
        <w:tc>
          <w:tcPr>
            <w:tcW w:w="15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Elevated fetal IL-13 → adverse neurodevelopmental outcomes</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Gestational IL-13 elevation associated with hyperactivity and inattention in 8-year-old offspring (Frontiers in Immunology, n=245) [13]</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 (prospective cohort)</w:t>
            </w:r>
          </w:p>
        </w:tc>
        <w:tc>
          <w:tcPr>
            <w:tcW w:w="15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T21 neuroinflammation begins prenatally, in utero</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T21 placentae overexpress IFNAR1, IFNAR2, SOD1 in 4 DS mouse models [9]; fetal T21 brain RNA-seq (13–22 weeks) shows robust transcriptional disruption [14]</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 + Animal</w:t>
            </w:r>
          </w:p>
        </w:tc>
        <w:tc>
          <w:tcPr>
            <w:tcW w:w="1563"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Strong</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Fetal neuroinflammation impairs neurogenesis, synaptic pruning, myelination</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Microglial activation and elevated cytokines during brain development documented in Ts65Dn, Dp16 mouse models [15,16]; IL-13 impairs oligodendrocyte maturation in vitro [17]</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Animal + Cell</w:t>
            </w:r>
          </w:p>
        </w:tc>
        <w:tc>
          <w:tcPr>
            <w:tcW w:w="15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Prenatal anti-inflammatory intervention improves neurodevelopmental outcomes in DS models</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P021 (neurotrophic peptide) administered prenatally to Ts65Dn dams rescued developmental delay and adult memory deficits in offspring [18]</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Animal (Ts65Dn)</w:t>
            </w:r>
          </w:p>
        </w:tc>
        <w:tc>
          <w:tcPr>
            <w:tcW w:w="15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 — different target</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IgG biologics cross placenta via FcRn; timing aligns with vulnerability windows</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FcRn-mediated transfer minimal before wk 20–22, rises substantially in third trimester [19,20]; IgG1/IgG4 subclasses have highest transfer efficiency [19]</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 ex vivo + Animal</w:t>
            </w:r>
          </w:p>
        </w:tc>
        <w:tc>
          <w:tcPr>
            <w:tcW w:w="1563"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Strong</w:t>
            </w:r>
          </w:p>
        </w:tc>
      </w:tr>
      <w:tr>
        <w:trPr/>
        <w:tc>
          <w:tcPr>
            <w:tcW w:w="26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IL-13/TSLP blockade is safe enough to study in adult populations; extended-interval formulations now exist</w:t>
            </w:r>
          </w:p>
        </w:tc>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Dupilumab case series in pregnancy: no identified drug-associated risk of major birth defects [21]; zumilokibart Phase 2 demonstrates 3–6 month efficacy [AbbVie 2026]</w:t>
            </w:r>
          </w:p>
        </w:tc>
        <w:tc>
          <w:tcPr>
            <w:tcW w:w="19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Human (limited)</w:t>
            </w:r>
          </w:p>
        </w:tc>
        <w:tc>
          <w:tcPr>
            <w:tcW w:w="1563"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Weak — pregnancy data absent</w:t>
            </w:r>
          </w:p>
        </w:tc>
      </w:tr>
    </w:tbl>
    <w:p>
      <w:pPr>
        <w:pStyle w:val="Normal"/>
        <w:spacing w:before="0" w:after="100"/>
        <w:rPr/>
      </w:pPr>
      <w:r>
        <w:rPr>
          <w:rFonts w:eastAsia="Arial" w:cs="Arial"/>
          <w:i/>
          <w:iCs/>
          <w:sz w:val="18"/>
          <w:szCs w:val="18"/>
          <w:lang w:val="en-US"/>
        </w:rPr>
        <w:t>Color key: Green = strong evidence; Yellow = moderate/indirect; Red = weak/speculative. The weakest link is the final step: pregnancy safety data for Zumilokibart and APG273 are absent. This is the primary target for preclinical investigation.</w:t>
      </w:r>
    </w:p>
    <w:p>
      <w:pPr>
        <w:pStyle w:val="Normal"/>
        <w:spacing w:before="0" w:after="120"/>
        <w:rPr/>
      </w:pPr>
      <w:r>
        <w:rPr/>
      </w:r>
    </w:p>
    <w:p>
      <w:pPr>
        <w:pStyle w:val="Heading1"/>
        <w:rPr/>
      </w:pPr>
      <w:r>
        <w:rPr>
          <w:rFonts w:eastAsia="Arial" w:cs="Arial"/>
          <w:b/>
          <w:bCs/>
          <w:lang w:val="en-US"/>
        </w:rPr>
        <w:t>3. Background and Literature Review</w:t>
      </w:r>
    </w:p>
    <w:p>
      <w:pPr>
        <w:pStyle w:val="Heading2"/>
        <w:rPr/>
      </w:pPr>
      <w:r>
        <w:rPr>
          <w:rFonts w:eastAsia="Arial" w:cs="Arial"/>
          <w:b/>
          <w:bCs/>
          <w:lang w:val="en-US"/>
        </w:rPr>
        <w:t>3.1 Neuroinflammatory Mechanisms in Trisomy 21</w:t>
      </w:r>
    </w:p>
    <w:p>
      <w:pPr>
        <w:pStyle w:val="Normal"/>
        <w:spacing w:before="0" w:after="160"/>
        <w:rPr/>
      </w:pPr>
      <w:r>
        <w:rPr>
          <w:rFonts w:eastAsia="Arial" w:cs="Arial"/>
          <w:sz w:val="22"/>
          <w:szCs w:val="22"/>
          <w:lang w:val="en-US"/>
        </w:rPr>
        <w:t xml:space="preserve">The neuroinflammatory profile of T21 has been well characterized across human and animal studies. Waugh et al. (2023) demonstrated in Nature Genetics that triplication of the IFNR gene cluster on chromosome 21 is necessary and sufficient for multiple DS hallmark phenotypes in a mouse model, with whole-blood transcriptomics confirming chronic interferon hyperactivity in people with DS [6]. Tyor et al. (2025) extended this to show that interferon signaling modulates DS-associated Alzheimer’s </w:t>
      </w:r>
      <w:r>
        <w:rPr>
          <w:lang w:val="en-US"/>
        </w:rPr>
        <w:t xml:space="preserve">disease </w:t>
      </w:r>
      <w:r>
        <w:rPr>
          <w:rFonts w:eastAsia="Arial" w:cs="Arial"/>
          <w:sz w:val="22"/>
          <w:szCs w:val="22"/>
          <w:lang w:val="en-US"/>
        </w:rPr>
        <w:t>pathology in iScience [7]. In mouse models (Ts65Dn, Dp16, Ts2Cje), organotypic brain slice cultures demonstrate hypersensitive interferon responses [12], and activated microglial phenotypes with elevated proinflammatory cytokines have been documented during brain development [15,16].</w:t>
      </w:r>
    </w:p>
    <w:p>
      <w:pPr>
        <w:pStyle w:val="Normal"/>
        <w:spacing w:before="0" w:after="160"/>
        <w:rPr/>
      </w:pPr>
      <w:r>
        <w:rPr>
          <w:rFonts w:eastAsia="Arial" w:cs="Arial"/>
          <w:sz w:val="22"/>
          <w:szCs w:val="22"/>
          <w:lang w:val="en-US"/>
        </w:rPr>
        <w:t>IL-13 and IL-4 dysregulation in T21 has been reported by Rachubinski et al. (2021), with specific implications for synaptic development and myelination [5]. A prospective cohort study by Frontiers in Immunology (Granot-Hershkovitz et al., 2019) directly demonstrated that elevated gestational IL-13 levels predict neurodevelopmental consequences in offspring at age eight [13]. RNA sequencing of fetal T21 prefrontal cortical and hippocampal tissues from 13 to 22 weeks post-conception revealed robust transcriptional disruptions during the precise developmental windows identified in this paper as critical [14].</w:t>
      </w:r>
    </w:p>
    <w:p>
      <w:pPr>
        <w:pStyle w:val="Heading2"/>
        <w:rPr/>
      </w:pPr>
      <w:r>
        <w:rPr>
          <w:rFonts w:eastAsia="Arial" w:cs="Arial"/>
          <w:b/>
          <w:bCs/>
          <w:lang w:val="en-US"/>
        </w:rPr>
        <w:t>3.2 Prenatal Neurodevelopmental Disruption in Trisomy 21</w:t>
      </w:r>
    </w:p>
    <w:p>
      <w:pPr>
        <w:pStyle w:val="Normal"/>
        <w:spacing w:before="0" w:after="160"/>
        <w:rPr/>
      </w:pPr>
      <w:r>
        <w:rPr>
          <w:lang w:val="en-US"/>
        </w:rPr>
        <w:t>Neurodevelopmental disruption in DS begins prenatally. Studies of fetal DS brain tissue have revealed reduced neuronal proliferation during the fetal period, altered cortical lamination, and impaired dendritic spine dynamics [22,23]. In the Ts65Dn mouse model, neurodevelopmental wiring deficits, impaired hippocampal neurogenesis, and reduced BDNF expression are evident from postnatal day 15, reflecting prenatal origins [24,25]. Prenatal pharmacological intervention in Ts65Dn mice—using a neurotrophic peptide mimetic (P021) from conception through early postnatal life—rescues developmental delay and prevents adult Alzheimer’s-like memory deficits, establishing a proof of concept that prenatal intervention can produce lasting neurodevelopmental benefit in DS models [18].</w:t>
      </w:r>
    </w:p>
    <w:p>
      <w:pPr>
        <w:pStyle w:val="Heading2"/>
        <w:rPr/>
      </w:pPr>
      <w:r>
        <w:rPr>
          <w:rFonts w:eastAsia="Arial" w:cs="Arial"/>
          <w:b/>
          <w:bCs/>
          <w:lang w:val="en-US"/>
        </w:rPr>
        <w:t>3.3 Placental Biology and Maternal–Fetal Immune Interface</w:t>
      </w:r>
    </w:p>
    <w:p>
      <w:pPr>
        <w:pStyle w:val="Normal"/>
        <w:spacing w:before="0" w:after="160"/>
        <w:rPr/>
      </w:pPr>
      <w:r>
        <w:rPr>
          <w:rFonts w:eastAsia="Arial" w:cs="Arial"/>
          <w:sz w:val="22"/>
          <w:szCs w:val="22"/>
          <w:lang w:val="en-US"/>
        </w:rPr>
        <w:t>The placenta is not a passive conduit in T21. It contains trisomic cells and overexpresses chromosome 21 genes, including IFNAR1, IFNAR2, and SOD1, in four DS mouse models, indicating that the placenta itself is an active site of T21-associated inflammatory dysregulation [9]. Abnormal placental inflammatory signaling has been implicated in perinatal brain injury and increased neurodevelopmental disorder risk, constituting the emerging field of neuroplacentology [26].</w:t>
      </w:r>
    </w:p>
    <w:p>
      <w:pPr>
        <w:pStyle w:val="Normal"/>
        <w:spacing w:before="0" w:after="160"/>
        <w:rPr/>
      </w:pPr>
      <w:r>
        <w:rPr>
          <w:lang w:val="en-US"/>
        </w:rPr>
        <w:t>Maternal–fetal immune tolerance during pregnancy involves complex cytokine regulation at the decidual interface. The immune environment during normal pregnancy is characterized by a shift toward type 2 (IL-4, IL-13) dominance in the first and second trimesters to prevent rejection of the semiallogeneic fetus [27]. This physiological type 2 skew is disrupted in T21, where constitutive overproduction of IL-13 and IFN creates an aberrant inflammatory milieu at the maternal–fetal interface. Placental cytokines, including IL-6 and IL-13, can directly influence fetal brain development via placental signaling pathways independent of direct transfer [28].</w:t>
      </w:r>
    </w:p>
    <w:p>
      <w:pPr>
        <w:pStyle w:val="Normal"/>
        <w:spacing w:before="0" w:after="160"/>
        <w:rPr/>
      </w:pPr>
      <w:r>
        <w:rPr>
          <w:lang w:val="en-US"/>
        </w:rPr>
        <w:t>IgG monoclonal antibodies cross the placenta via the neonatal Fc receptor (FcRn) expressed on syncytiotrophoblast cells [19,20]. This transfer is minimal before weeks 20–22 and increases substantially toward term, with cord blood IgG concentrations potentially exceeding maternal levels at delivery [19]. Transfer efficiency depends on the IgG subclass: IgG1 and IgG4 (the most common therapeutic antibody subclasses, including dupilumab as IgG4 and most IL-13-targeting mAbs as IgG1) demonstrate the highest FcRn affinity and therefore the highest placental transfer rates [19]. The timing and degree of placental transfer can also be engineered: certolizumab pegol, a PEGylated Fab fragment lacking an Fc region, demonstrates negligible placental transfer [29], illustrating that molecular engineering can decouple maternal anti-inflammatory effects from fetal drug exposure if safety studies indicate that this is desirable.</w:t>
      </w:r>
    </w:p>
    <w:p>
      <w:pPr>
        <w:pStyle w:val="Normal"/>
        <w:spacing w:before="0" w:after="160"/>
        <w:rPr/>
      </w:pPr>
      <w:r>
        <w:rPr>
          <w:rFonts w:eastAsia="Arial" w:cs="Arial"/>
          <w:sz w:val="22"/>
          <w:szCs w:val="22"/>
          <w:lang w:val="en-US"/>
        </w:rPr>
        <w:t>One risk this framework must state plainly: systemic maternal IL-13 suppression during Window I (weeks 8–16) could, in principle, disrupt the physiological Th2-dominant tolerance environment that the decidua depends on to maintain maternal–fetal tolerance in early pregnancy. None of the pregnancy safety data cited above address this directly—the dupilumab and omalizumab experience comes from mid-to-late-pregnancy exposure in women being treated for their own atopic or asthmatic disease, not from first-trimester dosing specifically intended to lower an already-present elevated Th2/IL-13 tone in an otherwise physiologically normal pregnancy. The theoretical risks of disrupting first-trimester Th2 skew include miscarriage, preterm birth, and preeclampsia. We regard this as the single largest safety uncertainty in Window I specifically, and it is the primary reason the preclinical roadmap in Section 9 places rodent and placental perfusion studies before any suggestion of human dosing at this gestational stage.</w:t>
      </w:r>
    </w:p>
    <w:p>
      <w:pPr>
        <w:pStyle w:val="Heading2"/>
        <w:rPr/>
      </w:pPr>
      <w:r>
        <w:rPr>
          <w:rFonts w:eastAsia="Arial" w:cs="Arial"/>
          <w:b/>
          <w:bCs/>
          <w:lang w:val="en-US"/>
        </w:rPr>
        <w:t>3.4 Next-Generation Extended-Interval Biologics</w:t>
      </w:r>
    </w:p>
    <w:p>
      <w:pPr>
        <w:pStyle w:val="Normal"/>
        <w:spacing w:before="0" w:after="160"/>
        <w:rPr/>
      </w:pPr>
      <w:r>
        <w:rPr>
          <w:rFonts w:eastAsia="Arial" w:cs="Arial"/>
          <w:sz w:val="22"/>
          <w:szCs w:val="22"/>
          <w:lang w:val="en-US"/>
        </w:rPr>
        <w:t>Dupilumab (Dupixent, Sanofi/Regeneron) targets the shared IL-4Rα receptor subunit, blocking both IL-4 and IL-13, and is administered every two weeks. Zumilokibart (Apogee Therapeutics/AbbVie) is an IL-13-specific IgG monoclonal antibody that has demonstrated sustained efficacy at 3–6 month dosing intervals in phase 2 atopic dermatitis trials. APG273 is a long-acting combination program targeting IL-13 and TSLP (pairing APG777 with the TSLP antibody APG333) that remains at an early stage of clinical development; phase 1 data for its TSLP-targeting component, APG333, revealed a favorable pharmacokinetic profile supporting quarterly or less frequent dosing and durable suppression of type 2 biomarkers for six months. Tezepelumab (Tezspire, AstraZeneca/Amgen) targets TSLP upstream and is approved for severe asthma, although its monthly dosing interval is less suited for prenatal applications [30].</w:t>
      </w:r>
    </w:p>
    <w:p>
      <w:pPr>
        <w:pStyle w:val="Heading2"/>
        <w:rPr/>
      </w:pPr>
      <w:r>
        <w:rPr>
          <w:rFonts w:eastAsia="Arial" w:cs="Arial"/>
          <w:b/>
          <w:bCs/>
          <w:lang w:val="en-US"/>
        </w:rPr>
        <w:t>3.5 Peripheral Type 2 Inflammation and Atopic Disease: A Translational Parallel</w:t>
      </w:r>
    </w:p>
    <w:p>
      <w:pPr>
        <w:pStyle w:val="Normal"/>
        <w:spacing w:before="0" w:after="160"/>
        <w:rPr/>
      </w:pPr>
      <w:r>
        <w:t>T21 is associated with a markedly elevated burden of autoimmune and allergic diseases, such as alopecia areata, celiac disease, and atopic dermatitis, which are strongly influenced by the pathophysiology of this disease [4]. Atopic dermatitis in the general population responds robustly to IL-13 and IL-4Rα blockade, and the approval of dupilumab for this indication is itself the clinical foundation on which the extended-interval zumilokibart and APG273 programs were constructed. If elevated IL-13 tone is a shared feature across T21’s allergic and neuroinflammatory phenotypes, the peripheral atopic disease burden in T21 offers an indirect, clinically observable readout of the same underlying cytokine dysregulation that this framework proposes to target in the fetal brain.</w:t>
      </w:r>
    </w:p>
    <w:p>
      <w:pPr>
        <w:pStyle w:val="Normal"/>
        <w:spacing w:before="0" w:after="160"/>
        <w:rPr/>
      </w:pPr>
      <w:r>
        <w:rPr>
          <w:rFonts w:eastAsia="Arial" w:cs="Arial"/>
          <w:sz w:val="22"/>
          <w:szCs w:val="22"/>
          <w:lang w:val="en-US"/>
        </w:rPr>
        <w:t>This parallel should be read cautiously. No published study has directly linked elevated IL-13 levels in T21 to atopic dermatitis risk in this population specifically, and the elevated allergic disease burden in T21 could equally reflect broader immune dysregulation unrelated to the IL-13 axis, altered skin barrier function, or ascertainment differences in a population under closer medical surveillance. We present the atopic disease parallel as a secondary hypothesis worth testing alongside the primary hypothesis—for instance, by asking whether T21 individuals with atopic dermatitis show a distinct neurodevelopmental or inflammatory biomarker profile relative to those without it—not as independent support for the primary hypothesis.</w:t>
      </w:r>
    </w:p>
    <w:p>
      <w:pPr>
        <w:pStyle w:val="Heading1"/>
        <w:rPr/>
      </w:pPr>
      <w:r>
        <w:rPr>
          <w:rFonts w:eastAsia="Arial" w:cs="Arial"/>
          <w:b/>
          <w:bCs/>
          <w:lang w:val="en-US"/>
        </w:rPr>
        <w:t>4. Therapeutic Target Rationale: Why IL-13/TSLP Instead of Interferons</w:t>
      </w:r>
    </w:p>
    <w:p>
      <w:pPr>
        <w:pStyle w:val="Normal"/>
        <w:spacing w:before="0" w:after="160"/>
        <w:rPr/>
      </w:pPr>
      <w:r>
        <w:rPr>
          <w:rFonts w:eastAsia="Arial" w:cs="Arial"/>
          <w:sz w:val="22"/>
          <w:szCs w:val="22"/>
          <w:lang w:val="en-US"/>
        </w:rPr>
        <w:t>Before this reasoning is established, it is worth being explicit about what this section does and does not claim. The central hypothesis of this paper is not that IL-13 is the primary driver of neurodevelopmental impairment in patients with trisomy 21. Rather, IL-13 represents a biologically plausible and pharmacologically tractable downstream node within a broader interferon-associated immune dysregulation network, whose causal contribution to fetal neurodevelopment can now be experimentally tested. Treating that distinction loosely is, in our view, the single easiest way for this argument to be misread as stronger than it is.</w:t>
      </w:r>
    </w:p>
    <w:p>
      <w:pPr>
        <w:pStyle w:val="Heading2"/>
        <w:rPr/>
      </w:pPr>
      <w:r>
        <w:rPr>
          <w:rFonts w:eastAsia="Arial" w:cs="Arial"/>
          <w:b/>
          <w:bCs/>
          <w:lang w:val="en-US"/>
        </w:rPr>
        <w:t>4.1 The Interferon Pathway: Strongest Biology, Weakest Therapeutic Tractability</w:t>
      </w:r>
    </w:p>
    <w:p>
      <w:pPr>
        <w:pStyle w:val="Normal"/>
        <w:spacing w:before="0" w:after="160"/>
        <w:rPr/>
      </w:pPr>
      <w:r>
        <w:rPr>
          <w:rFonts w:eastAsia="Arial" w:cs="Arial"/>
          <w:sz w:val="22"/>
          <w:szCs w:val="22"/>
          <w:lang w:val="en-US"/>
        </w:rPr>
        <w:t>To understand why interferons are not the primary therapeutic target of this framework, it is essential to first understand why they are the most biologically important pathway in trisomy 21. This distinction — between biological centrality and therapeutic tractability — is the core reasoning of this section.</w:t>
      </w:r>
    </w:p>
    <w:p>
      <w:pPr>
        <w:pStyle w:val="Normal"/>
        <w:spacing w:before="0" w:after="160"/>
        <w:rPr/>
      </w:pPr>
      <w:r>
        <w:rPr>
          <w:rFonts w:eastAsia="Arial" w:cs="Arial"/>
          <w:sz w:val="22"/>
          <w:szCs w:val="22"/>
          <w:lang w:val="en-US"/>
        </w:rPr>
        <w:t>Interferons were originally discovered as proteins secreted by virus-infected cells that protect neighboring cells from infection. Today, we recognize interferons as a family of signaling cytokines that play major roles in antiviral defense, immune regulation, inflammation, and intercellular communication. In the context of T21, the issue is not that interferons are inherently harmful — they are essential for normal immunity. The concern is structural: chromosome 21 contains four interferon receptor genes (IFNAR1, IFNAR2, IFNGR2, and IL10RB). The presence of three copies of chromosome 21 indicates that these receptor genes are triplicated, causing cells to be constitutively and irreversibly more responsive to interferon signaling throughout life. This is not an upstream trigger that could be removed; it is baked into the genome.</w:t>
      </w:r>
    </w:p>
    <w:p>
      <w:pPr>
        <w:pStyle w:val="Normal"/>
        <w:spacing w:before="0" w:after="160"/>
        <w:rPr/>
      </w:pPr>
      <w:r>
        <w:rPr>
          <w:rFonts w:eastAsia="Arial" w:cs="Arial"/>
          <w:sz w:val="22"/>
          <w:szCs w:val="22"/>
          <w:lang w:val="en-US"/>
        </w:rPr>
        <w:t>The evidence for interferon as the primary T21 inflammatory driver is robust. Waugh et al. (2023) demonstrated in Nature Genetics that IFNR triplication is necessary and sufficient for multiple DS hallmarks in mouse models [6]. Galbraith et al. (2023) confirmed in Science Advances that chronic interferon hyperactivity is directly associated with a distinct proinflammatory whole-blood transcriptional signature in DS [44]. Tyor et al. (2025) extended this to Alzheimer’s pathology in iScience [7]. Reducing interferon receptor dosage in mouse experiments improves phenotypic outcomes. This is a strong, mechanistically grounded evidence base.</w:t>
      </w:r>
    </w:p>
    <w:p>
      <w:pPr>
        <w:pStyle w:val="Normal"/>
        <w:spacing w:before="0" w:after="160"/>
        <w:rPr/>
      </w:pPr>
      <w:r>
        <w:rPr>
          <w:rFonts w:eastAsia="Arial" w:cs="Arial"/>
          <w:sz w:val="22"/>
          <w:szCs w:val="22"/>
          <w:lang w:val="en-US"/>
        </w:rPr>
        <w:t>In an ideal pharmacological world, interferon suppression would therefore be the first therapeutic target. However, the following practical considerations make interferon blockade unsuitable as the basis for a near-term prenatal intervention hypothesis:</w:t>
      </w:r>
    </w:p>
    <w:p>
      <w:pPr>
        <w:pStyle w:val="Normal"/>
        <w:spacing w:before="0" w:after="130"/>
        <w:rPr/>
      </w:pPr>
      <w:r>
        <w:rPr>
          <w:rFonts w:eastAsia="Arial" w:cs="Arial"/>
          <w:sz w:val="22"/>
          <w:szCs w:val="22"/>
          <w:lang w:val="en-US"/>
        </w:rPr>
        <w:t xml:space="preserve">1. Antiviral immunity risk: Interferons </w:t>
      </w:r>
      <w:r>
        <w:rPr>
          <w:lang w:val="en-US"/>
        </w:rPr>
        <w:t>constitute</w:t>
      </w:r>
      <w:r>
        <w:rPr>
          <w:rFonts w:eastAsia="Arial" w:cs="Arial"/>
          <w:sz w:val="22"/>
          <w:szCs w:val="22"/>
          <w:lang w:val="en-US"/>
        </w:rPr>
        <w:t xml:space="preserve"> the body’s primary first-line antiviral defense. Broad interferon suppression during pregnancy — a state of already modified immune tolerance — could substantially increase maternal and fetal susceptibility to viral infection, including congenital infections (CMV, rubella and Zika), with known teratogenic consequences. This risk is not present to the same degree as that associated with IL-13/TSLP blockade.</w:t>
      </w:r>
    </w:p>
    <w:p>
      <w:pPr>
        <w:pStyle w:val="Normal"/>
        <w:spacing w:before="0" w:after="130"/>
        <w:rPr/>
      </w:pPr>
      <w:r>
        <w:rPr>
          <w:rFonts w:eastAsia="Arial" w:cs="Arial"/>
          <w:sz w:val="22"/>
          <w:szCs w:val="22"/>
          <w:lang w:val="en-US"/>
        </w:rPr>
        <w:t xml:space="preserve">2. No long-acting pregnancy-compatible agent exists: Anifrolumab (AstraZeneca) targets the IFN-α/β receptor and is approved for systemic lupus </w:t>
      </w:r>
      <w:r>
        <w:rPr>
          <w:lang w:val="en-US"/>
        </w:rPr>
        <w:t>erythematosuserythaematosus</w:t>
      </w:r>
      <w:r>
        <w:rPr>
          <w:rFonts w:eastAsia="Arial" w:cs="Arial"/>
          <w:sz w:val="22"/>
          <w:szCs w:val="22"/>
          <w:lang w:val="en-US"/>
        </w:rPr>
        <w:t xml:space="preserve"> but requires monthly IV infusion and has no pregnancy safety data. No extended-interval subcutaneous anti-interferon biologics with a pregnancy safety profile exist.</w:t>
      </w:r>
    </w:p>
    <w:p>
      <w:pPr>
        <w:pStyle w:val="Normal"/>
        <w:spacing w:before="0" w:after="130"/>
        <w:rPr/>
      </w:pPr>
      <w:r>
        <w:rPr>
          <w:rFonts w:eastAsia="Arial" w:cs="Arial"/>
          <w:sz w:val="22"/>
          <w:szCs w:val="22"/>
          <w:lang w:val="en-US"/>
        </w:rPr>
        <w:t>3. Data concerning the use of IL-13/TSLP agents in pregnant women with no identified drug-associated major birth defects are available: Dupilumab (IL-4/IL-13 blockade) has been used in case series in pregnant women with no identified drug-associated major birth defects [21]. Omalizumab and mepolizumab have been used during pregnancy for severe asthma [41]. The IL-13/TSLP class has meaningfully more developed pregnancy safety track records.</w:t>
      </w:r>
    </w:p>
    <w:p>
      <w:pPr>
        <w:pStyle w:val="Normal"/>
        <w:spacing w:before="0" w:after="130"/>
        <w:rPr/>
      </w:pPr>
      <w:r>
        <w:rPr>
          <w:rFonts w:eastAsia="Arial" w:cs="Arial"/>
          <w:sz w:val="22"/>
          <w:szCs w:val="22"/>
          <w:lang w:val="en-US"/>
        </w:rPr>
        <w:t>4. Extended-interval formulations are uniquely available for IL-13: Zumilokibart and APG273 offer 3–6 month dosing intervals. No equivalent extended-interval anti-interferon agent exists or is in late-stage development.</w:t>
      </w:r>
    </w:p>
    <w:p>
      <w:pPr>
        <w:pStyle w:val="Normal"/>
        <w:spacing w:before="0" w:after="130"/>
        <w:rPr/>
      </w:pPr>
      <w:r>
        <w:rPr>
          <w:rFonts w:eastAsia="Arial" w:cs="Arial"/>
          <w:sz w:val="22"/>
          <w:szCs w:val="22"/>
          <w:lang w:val="en-US"/>
        </w:rPr>
        <w:t xml:space="preserve">5. Downstream convergence is sufficient for the following hypothesis: IL-13 and TSLP are downstream of interferon-initiated inflammatory cascades. Attenuating these downstream effectors during critical vulnerability windows may reduce the neuroinflammatory burden at the synaptic and myelination </w:t>
      </w:r>
      <w:r>
        <w:rPr>
          <w:lang w:val="en-US"/>
        </w:rPr>
        <w:t>levels</w:t>
      </w:r>
      <w:r>
        <w:rPr>
          <w:rFonts w:eastAsia="Arial" w:cs="Arial"/>
          <w:sz w:val="22"/>
          <w:szCs w:val="22"/>
          <w:lang w:val="en-US"/>
        </w:rPr>
        <w:t xml:space="preserve"> even without suppressing the upstream interferon source. An analogy is antihypertensive therapy: we can reduce end-organ damage through downstream mechanisms without correcting the upstream genetic predisposition.</w:t>
      </w:r>
    </w:p>
    <w:p>
      <w:pPr>
        <w:pStyle w:val="Normal"/>
        <w:spacing w:before="0" w:after="130"/>
        <w:rPr/>
      </w:pPr>
      <w:r>
        <w:rPr>
          <w:rFonts w:eastAsia="Arial" w:cs="Arial"/>
          <w:sz w:val="22"/>
          <w:szCs w:val="22"/>
          <w:lang w:val="en-US"/>
        </w:rPr>
        <w:t>6. Future directions — JAK inhibition: Tofacitinib, a JAK1/3 inhibitor, improved spatial and episodic memory and visuomotor and verbal task performance in a small case series of individuals with Down Syndrome Regression Disorder [31] — a specific, immune-associated regression phenotype, not a general claim about DS cognition. JAK inhibitors suppress JAK‒STAT signaling downstream of all cytokine receptors, including interferons, and represent a compelling future framework for prenatal intervention. However, their small-molecule pharmacokinetics in the fetal compartment, placental transfer, and teratogenicity profiles require dedicated investigation before prenatal application can be theorized.</w:t>
      </w:r>
    </w:p>
    <w:p>
      <w:pPr>
        <w:pStyle w:val="Normal"/>
        <w:spacing w:before="0" w:after="160"/>
        <w:rPr/>
      </w:pPr>
      <w:r>
        <w:rPr>
          <w:rFonts w:eastAsia="Arial" w:cs="Arial"/>
          <w:sz w:val="22"/>
          <w:szCs w:val="22"/>
          <w:lang w:val="en-US"/>
        </w:rPr>
        <w:t>It is fair to ask why blocking IL-13 and TSLP should be expected to help when the underlying driver—interferon receptor triplication—remains untouched for as long as three copies of chromosome 21 persist. We take this objection seriously rather than treating it as a rhetorical hurdle to clear before receiving the therapeutic proposal because it goes to the heart of whether downstream blockade can ever be more than palliative.</w:t>
      </w:r>
    </w:p>
    <w:p>
      <w:pPr>
        <w:pStyle w:val="Normal"/>
        <w:spacing w:before="0" w:after="160"/>
        <w:rPr/>
      </w:pPr>
      <w:r>
        <w:rPr>
          <w:rFonts w:eastAsia="Arial" w:cs="Arial"/>
          <w:sz w:val="22"/>
          <w:szCs w:val="22"/>
          <w:lang w:val="en-US"/>
        </w:rPr>
        <w:t>Precedents from other polygenic and structurally driven inflammatory diseases suggest that it can. Rheumatoid arthritis has no single corrected upstream cause, yet TNF-α blockade—a single downstream effector—produces substantial and durable clinical benefit despite leaving the underlying autoimmune predisposition entirely intact. Psoriasis follows the same pattern as IL-17/IL-23 blockade: polygenic susceptibility is unchanged, but interrupting a downstream effector node is sufficient to control the disease in most patients. Both examples involve chronic, structurally driven inflammatory states where clinicians long ago stopped waiting for an upstream cure and instead targeted the node that was clinically tractable.</w:t>
      </w:r>
    </w:p>
    <w:p>
      <w:pPr>
        <w:pStyle w:val="Normal"/>
        <w:spacing w:before="0" w:after="160"/>
        <w:rPr/>
      </w:pPr>
      <w:r>
        <w:rPr>
          <w:rFonts w:eastAsia="Arial" w:cs="Arial"/>
          <w:sz w:val="22"/>
          <w:szCs w:val="22"/>
          <w:lang w:val="en-US"/>
        </w:rPr>
        <w:t>We are not claiming that this precedent guarantees the same result in T21 neurodevelopment—the analogy is between disease categories, not a proof that transfers automatically. What it establishes is that ‘the upstream cause is untouched’ is not, by itself, a reason to expect downstream blockade to fail. Whether it succeeds here is exactly the open question this framework is built to test, not one it can claim to have already answered. Falsifiability Criterion 5 (Section 10) — failure to alter microglial activation during the vulnerability window despite IL-13/TSLP blockade — is the specific experimental result that would capture a negative answer to this question.</w:t>
      </w:r>
    </w:p>
    <w:p>
      <w:pPr>
        <w:pStyle w:val="Normal"/>
        <w:rPr/>
      </w:pPr>
      <w:r>
        <w:rPr>
          <w:b/>
          <w:lang w:val="en-US"/>
        </w:rPr>
        <w:t>Competing explanations for the interferon–IL-13 relationship</w:t>
      </w:r>
    </w:p>
    <w:p>
      <w:pPr>
        <w:pStyle w:val="Normal"/>
        <w:rPr/>
      </w:pPr>
      <w:r>
        <w:t>The precedent argument above establishes only that downstream blockade is not futile in principle. Whether it helps here depends on which of the four structurally different relationships actually holds between interferon hyperactivation and IL-13/TSLP signaling in the T21 fetal brain, and these are worth separating because they make different predictions. (i) Obligate relay: interferon acts on neurodevelopment largely through type 2 cytokine induction, in which case downstream blockade should recover most of the available benefit. (ii) Parallel independent pathways: interferon acts on neurogenesis and pruning through routes that do not pass through IL-13 at all, in which case blockade addresses only the fraction of injury that is type 2–mediated and the ceiling on benefit is low. (iii) Reverse causation: microglial activation drives local IL-13 production rather than the converse, in which case IL-13 is a marker of the process rather than a lever on it and blockade would be expected to fail. (iv) Shared upstream driver: Both arms are downstream of a third triplicated gene product, DYRK1A being the obvious candidate, in which case neither IL-13 blockade nor interferon blockade alone is the natural intervention point. We cannot presently distinguish these from published data, and we do not claim that the evidence favors (i). What we do claim is narrower: (i) and (ii) both predict a measurable reduction in microglial activation under blockade and differ in the magnitude of downstream structural benefit, whereas (iii) and (iv) predict little or none — so the organoid and Ts65Dn/Dp16 experiments in Section 9 discriminate between the pairs rather than merely testing whether the intervention “works.” This is why Falsifiability Criterion 5 is stated in terms of microglial phenotype rather than developmental outcome: the microglial readout is what separates the two pairs, while a developmental-outcome readout alone would not.</w:t>
      </w:r>
    </w:p>
    <w:p>
      <w:pPr>
        <w:pStyle w:val="Heading2"/>
        <w:rPr/>
      </w:pPr>
      <w:r>
        <w:rPr>
          <w:rFonts w:eastAsia="Arial" w:cs="Arial"/>
          <w:b/>
          <w:bCs/>
          <w:lang w:val="en-US"/>
        </w:rPr>
        <w:t>4.2 Comparative Inflammatory Target Table</w:t>
      </w:r>
    </w:p>
    <w:p>
      <w:pPr>
        <w:pStyle w:val="Normal"/>
        <w:spacing w:before="0" w:after="160"/>
        <w:rPr/>
      </w:pPr>
      <w:r>
        <w:rPr>
          <w:lang w:val="en-US"/>
        </w:rPr>
        <w:t>Table 2 presents a structured comparison of candidate inflammatory targets in T21, designed to make the therapeutic rationale explicit and independently checkable. This table directly addresses the following question: given the range of potential targets, why is IL-13/TSLP the most tractable focus for a prenatal hypothesis?</w:t>
      </w:r>
    </w:p>
    <w:p>
      <w:pPr>
        <w:pStyle w:val="Normal"/>
        <w:spacing w:before="0" w:after="120"/>
        <w:rPr/>
      </w:pPr>
      <w:r>
        <w:rPr/>
      </w:r>
    </w:p>
    <w:p>
      <w:pPr>
        <w:pStyle w:val="Normal"/>
        <w:spacing w:before="0" w:after="100"/>
        <w:rPr/>
      </w:pPr>
      <w:r>
        <w:rPr>
          <w:rFonts w:eastAsia="Arial" w:cs="Arial"/>
          <w:b/>
          <w:bCs/>
          <w:sz w:val="20"/>
          <w:szCs w:val="20"/>
          <w:lang w:val="en-US"/>
        </w:rPr>
        <w:t>Table 2: Comparative Inflammatory Target Analysis for Prenatal Intervention in Trisomy 21</w:t>
      </w:r>
    </w:p>
    <w:tbl>
      <w:tblPr>
        <w:tblW w:w="9360" w:type="dxa"/>
        <w:jc w:val="left"/>
        <w:tblInd w:w="122" w:type="dxa"/>
        <w:tblLayout w:type="fixed"/>
        <w:tblCellMar>
          <w:top w:w="80" w:type="dxa"/>
          <w:left w:w="120" w:type="dxa"/>
          <w:bottom w:w="80" w:type="dxa"/>
          <w:right w:w="120" w:type="dxa"/>
        </w:tblCellMar>
      </w:tblPr>
      <w:tblGrid>
        <w:gridCol w:w="1597"/>
        <w:gridCol w:w="1703"/>
        <w:gridCol w:w="1700"/>
        <w:gridCol w:w="1698"/>
        <w:gridCol w:w="1699"/>
        <w:gridCol w:w="963"/>
      </w:tblGrid>
      <w:tr>
        <w:trPr/>
        <w:tc>
          <w:tcPr>
            <w:tcW w:w="1597"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Target</w:t>
            </w:r>
          </w:p>
        </w:tc>
        <w:tc>
          <w:tcPr>
            <w:tcW w:w="1703"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Evidence in T21 Neurodevelopment</w:t>
            </w:r>
          </w:p>
        </w:tc>
        <w:tc>
          <w:tcPr>
            <w:tcW w:w="1700"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Existing Biologics</w:t>
            </w:r>
          </w:p>
        </w:tc>
        <w:tc>
          <w:tcPr>
            <w:tcW w:w="1698"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Pregnancy Safety Data</w:t>
            </w:r>
          </w:p>
        </w:tc>
        <w:tc>
          <w:tcPr>
            <w:tcW w:w="1699"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Extended-Interval Formulation</w:t>
            </w:r>
          </w:p>
        </w:tc>
        <w:tc>
          <w:tcPr>
            <w:tcW w:w="963"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Prenatal Tractability</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bCs/>
                <w:sz w:val="18"/>
                <w:szCs w:val="18"/>
                <w:lang w:val="en-US"/>
              </w:rPr>
              <w:t>Interferon pathway</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Strong — direct chr21 triplication; IFNR dosage drives hallmarks</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Anifrolumab (monthly IV); no pregnancy-optimized agent</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Very limited; antiviral immunity risk</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None currently available</w:t>
            </w:r>
          </w:p>
        </w:tc>
        <w:tc>
          <w:tcPr>
            <w:tcW w:w="963"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Low</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bCs/>
                <w:sz w:val="18"/>
                <w:szCs w:val="18"/>
                <w:lang w:val="en-US"/>
              </w:rPr>
              <w:t>IL-13/TSLP (This paper)</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Moderate — IL-13 dysregulation documented; gestational IL-13 predicts offspring neurodevelopment</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Dupilumab (approved); zumilokibart, APG273 (pipeline)</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Dupilumab case series: no major birth defects identified</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Zumilokibart: 3–6 months; APG273: up to 6 months</w:t>
            </w:r>
          </w:p>
        </w:tc>
        <w:tc>
          <w:tcPr>
            <w:tcW w:w="963"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High</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JAK/STAT (tofacitinib)</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Moderate — small DSRD case series shows cognitive benefit; downstream of IFN</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Baricitinib, ruxolitinib (approved; nonpregnancy)</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 pregnancy data; small molecule raises fetal exposure concern</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Daily oral; no extended-interval</w:t>
            </w:r>
          </w:p>
        </w:tc>
        <w:tc>
          <w:tcPr>
            <w:tcW w:w="9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Low–Moderate</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DYRK1A (chr21 gene)</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Moderate — overexpression drives cognitive deficits; EGCG, leucettinib show preclinical benefit</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EGCG (nutraceutical); leucettinib-21 (investigational)</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EGCG: generally safe in pregnancy at low dose; leucettinib: no data</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 extended-interval</w:t>
            </w:r>
          </w:p>
        </w:tc>
        <w:tc>
          <w:tcPr>
            <w:tcW w:w="9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Low–Moderate</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IL-17/IL-23</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Weak — limited evidence for central role in T21 neurodevelopment specifically</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Secukinumab, ixekizumab, risankizumab (approved)</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Some pregnancy registry data (IBD context)</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Some bimonthly options</w:t>
            </w:r>
          </w:p>
        </w:tc>
        <w:tc>
          <w:tcPr>
            <w:tcW w:w="963"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Low</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Neurotrophic (P021, BDNF)</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Moderate — prenatal P021 rescues Ts65Dn developmental delay</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 approved biologics; small peptide mimetics</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Preclinical only</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N/A</w:t>
            </w:r>
          </w:p>
        </w:tc>
        <w:tc>
          <w:tcPr>
            <w:tcW w:w="963"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 (complementary)</w:t>
            </w:r>
          </w:p>
        </w:tc>
      </w:tr>
      <w:tr>
        <w:trPr/>
        <w:tc>
          <w:tcPr>
            <w:tcW w:w="1597"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XIST chr21 silencing</w:t>
            </w:r>
          </w:p>
        </w:tc>
        <w:tc>
          <w:tcPr>
            <w:tcW w:w="1703"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High potential — silences entire extra chr21; iPSC proof of concept</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 biologics; gene therapy platform</w:t>
            </w:r>
          </w:p>
        </w:tc>
        <w:tc>
          <w:tcPr>
            <w:tcW w:w="16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No data; early-stage technology</w:t>
            </w:r>
          </w:p>
        </w:tc>
        <w:tc>
          <w:tcPr>
            <w:tcW w:w="1699"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N/A</w:t>
            </w:r>
          </w:p>
        </w:tc>
        <w:tc>
          <w:tcPr>
            <w:tcW w:w="963"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Very low (currently)</w:t>
            </w:r>
          </w:p>
        </w:tc>
      </w:tr>
    </w:tbl>
    <w:p>
      <w:pPr>
        <w:pStyle w:val="Normal"/>
        <w:spacing w:before="0" w:after="120"/>
        <w:rPr/>
      </w:pPr>
      <w:r>
        <w:rPr/>
      </w:r>
    </w:p>
    <w:p>
      <w:pPr>
        <w:pStyle w:val="Normal"/>
        <w:spacing w:before="0" w:after="160"/>
        <w:rPr/>
      </w:pPr>
      <w:r>
        <w:rPr>
          <w:sz w:val="18"/>
          <w:szCs w:val="18"/>
          <w:lang w:val="en-US"/>
        </w:rPr>
        <w:t xml:space="preserve">The data in </w:t>
      </w:r>
      <w:r>
        <w:rPr>
          <w:rFonts w:eastAsia="Arial" w:cs="Arial"/>
          <w:sz w:val="22"/>
          <w:szCs w:val="22"/>
          <w:lang w:val="en-US"/>
        </w:rPr>
        <w:t xml:space="preserve">Table 2 clearly indicate that IL-13/TSLP blockade results in the highest prenatal tractability despite being below </w:t>
      </w:r>
      <w:r>
        <w:rPr>
          <w:lang w:val="en-US"/>
        </w:rPr>
        <w:t xml:space="preserve">that of </w:t>
      </w:r>
      <w:r>
        <w:rPr>
          <w:rFonts w:eastAsia="Arial" w:cs="Arial"/>
          <w:sz w:val="22"/>
          <w:szCs w:val="22"/>
          <w:lang w:val="en-US"/>
        </w:rPr>
        <w:t>interferon in terms of biological evidence strength. This is the core translational argument of the paper: the best therapeutic target in biology is not always the best starting point for a clinical hypothesis. Tractability — the combination of available agents, pregnancy safety data, and extended dosing intervals — currently favors IL-13/TSLP.</w:t>
      </w:r>
    </w:p>
    <w:p>
      <w:pPr>
        <w:pStyle w:val="Heading2"/>
        <w:rPr/>
      </w:pPr>
      <w:r>
        <w:rPr>
          <w:rFonts w:eastAsia="Arial" w:cs="Arial"/>
          <w:b/>
          <w:bCs/>
          <w:lang w:val="en-US"/>
        </w:rPr>
        <w:t>4.3 Single-Target IL-13 Blockade Versus Dual IL-13/TSLP Blockade</w:t>
      </w:r>
    </w:p>
    <w:p>
      <w:pPr>
        <w:pStyle w:val="Normal"/>
        <w:spacing w:before="0" w:after="160"/>
        <w:rPr/>
      </w:pPr>
      <w:r>
        <w:rPr>
          <w:rFonts w:eastAsia="Arial" w:cs="Arial"/>
          <w:sz w:val="22"/>
          <w:szCs w:val="22"/>
          <w:lang w:val="en-US"/>
        </w:rPr>
        <w:t>Zumilokibart and APG273 are not interchangeable candidates; they act at different points in the same cascade. IL-13 acts directly on IL-13Rα1-expressing microglia and oligodendrocyte precursor cells, indicating that the mechanism of zumilokibart is close to the proposed neurodevelopmental endpoint [17]. TSLP acts further upstream, primarily on dendritic cells and group 2 innate lymphoid cells (ILC2s), amplifying the type 2 response that produces IL-13 in the first place rather than acting on neural cells directly [30]. APG273’s dual blockade therefore trades proximity to the endpoint for broader upstream coverage of the type 2 cascade.</w:t>
      </w:r>
    </w:p>
    <w:p>
      <w:pPr>
        <w:pStyle w:val="Normal"/>
        <w:spacing w:before="0" w:after="160"/>
        <w:rPr/>
      </w:pPr>
      <w:r>
        <w:rPr>
          <w:rFonts w:eastAsia="Arial" w:cs="Arial"/>
          <w:sz w:val="22"/>
          <w:szCs w:val="22"/>
          <w:lang w:val="en-US"/>
        </w:rPr>
        <w:t>In practical terms, these are two different bets. Zumilokibart has a more mature pregnancy-adjacent safety profile, since dupilumab (its mechanistic cousin) already has a pregnancy case series record showing no identified drug-associated major birth defect signal [21]; APG273 has no comparable clinical experience but offers the theoretical advantage of damping the type 2 cascade before it generates IL-13 and TSLP in parallel, which could matter if IL-13 blockade alone proves insufficient to suppress the T21 phenotype. We do not believe that the present evidence supports choosing between them a priori. The organoid work proposed in Section 9.1 could be designed as a head-to-head comparison — treating parallel T21 organoid cultures with single versus dual blockade — which would generate the first empirical basis for choosing between the two candidates before either reaches an animal model.</w:t>
      </w:r>
    </w:p>
    <w:p>
      <w:pPr>
        <w:pStyle w:val="Heading1"/>
        <w:rPr/>
      </w:pPr>
      <w:r>
        <w:rPr>
          <w:rFonts w:eastAsia="Arial" w:cs="Arial"/>
          <w:b/>
          <w:bCs/>
          <w:lang w:val="en-US"/>
        </w:rPr>
        <w:t>5. Competing Therapeutic Hypotheses</w:t>
      </w:r>
    </w:p>
    <w:p>
      <w:pPr>
        <w:pStyle w:val="Normal"/>
        <w:spacing w:before="0" w:after="160"/>
        <w:rPr/>
      </w:pPr>
      <w:r>
        <w:rPr>
          <w:rFonts w:eastAsia="Arial" w:cs="Arial"/>
          <w:sz w:val="22"/>
          <w:szCs w:val="22"/>
          <w:lang w:val="en-US"/>
        </w:rPr>
        <w:t>A credible theoretical hypothesis should acknowledge the broader therapeutic landscape. Several alternative approaches to improving neurodevelopmental outcomes at T21 are under investigation. We position the IL-13/TSLP framework within this landscape rather than proposing it in isolation.</w:t>
      </w:r>
    </w:p>
    <w:p>
      <w:pPr>
        <w:pStyle w:val="Normal"/>
        <w:spacing w:before="0" w:after="120"/>
        <w:rPr/>
      </w:pPr>
      <w:r>
        <w:rPr/>
      </w:r>
    </w:p>
    <w:p>
      <w:pPr>
        <w:pStyle w:val="Normal"/>
        <w:spacing w:before="0" w:after="100"/>
        <w:rPr/>
      </w:pPr>
      <w:r>
        <w:rPr>
          <w:rFonts w:eastAsia="Arial" w:cs="Arial"/>
          <w:b/>
          <w:bCs/>
          <w:sz w:val="20"/>
          <w:szCs w:val="20"/>
          <w:lang w:val="en-US"/>
        </w:rPr>
        <w:t>Table 3: Competing Therapeutic Approaches in trisomy 21 Neurodevelopment</w:t>
      </w:r>
    </w:p>
    <w:tbl>
      <w:tblPr>
        <w:tblW w:w="9360" w:type="dxa"/>
        <w:jc w:val="left"/>
        <w:tblInd w:w="122" w:type="dxa"/>
        <w:tblLayout w:type="fixed"/>
        <w:tblCellMar>
          <w:top w:w="80" w:type="dxa"/>
          <w:left w:w="120" w:type="dxa"/>
          <w:bottom w:w="80" w:type="dxa"/>
          <w:right w:w="120" w:type="dxa"/>
        </w:tblCellMar>
      </w:tblPr>
      <w:tblGrid>
        <w:gridCol w:w="2398"/>
        <w:gridCol w:w="2802"/>
        <w:gridCol w:w="2400"/>
        <w:gridCol w:w="1760"/>
      </w:tblGrid>
      <w:tr>
        <w:trPr/>
        <w:tc>
          <w:tcPr>
            <w:tcW w:w="2398"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Approach</w:t>
            </w:r>
          </w:p>
        </w:tc>
        <w:tc>
          <w:tcPr>
            <w:tcW w:w="2802"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Rationale</w:t>
            </w:r>
          </w:p>
        </w:tc>
        <w:tc>
          <w:tcPr>
            <w:tcW w:w="2400"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Status</w:t>
            </w:r>
          </w:p>
        </w:tc>
        <w:tc>
          <w:tcPr>
            <w:tcW w:w="1760" w:type="dxa"/>
            <w:tcBorders>
              <w:top w:val="single" w:sz="2" w:space="0" w:color="CCCCCC"/>
              <w:left w:val="single" w:sz="2" w:space="0" w:color="CCCCCC"/>
              <w:bottom w:val="single" w:sz="2" w:space="0" w:color="CCCCCC"/>
              <w:right w:val="single" w:sz="2" w:space="0" w:color="CCCCCC"/>
            </w:tcBorders>
            <w:shd w:color="auto" w:fill="1F3864" w:val="clear"/>
          </w:tcPr>
          <w:p>
            <w:pPr>
              <w:pStyle w:val="Normal"/>
              <w:rPr/>
            </w:pPr>
            <w:r>
              <w:rPr>
                <w:rFonts w:eastAsia="Arial" w:cs="Arial"/>
                <w:b/>
                <w:bCs/>
                <w:color w:val="FFFFFF"/>
                <w:sz w:val="18"/>
                <w:szCs w:val="18"/>
                <w:lang w:val="en-US"/>
              </w:rPr>
              <w:t>Prenatal Applicability</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bCs/>
                <w:sz w:val="18"/>
                <w:szCs w:val="18"/>
                <w:lang w:val="en-US"/>
              </w:rPr>
              <w:t>IL-13/TSLP Blockade (This paper)</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Suppress secondary neuroinflammatory burden during vulnerability windows</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Theoretical — no DS data</w:t>
            </w:r>
          </w:p>
        </w:tc>
        <w:tc>
          <w:tcPr>
            <w:tcW w:w="1760"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High (extended-interval)</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Interferon blockade/JAK inhibition</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Target primary inflammatory driver (IFN hyperactivity via IFNR triplication)</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Tofacitinib case series in DS Regression Disorder [31]</w:t>
            </w:r>
          </w:p>
        </w:tc>
        <w:tc>
          <w:tcPr>
            <w:tcW w:w="1760"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Low — safety unknown</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DYRK1A inhibition</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DYRK1A overexpression drives cognitive and developmental deficits; EGCG and leucettinib-21 show preclinical benefit [32,33]</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EGCG clinical trials completed; leucettinib in DS-ALL</w:t>
            </w:r>
          </w:p>
        </w:tc>
        <w:tc>
          <w:tcPr>
            <w:tcW w:w="1760"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Moderate — postnatal focus</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Neurotrophic intervention (P021, BDNF)</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Reduced BDNF and neurotrophic signaling in DS; prenatal P021 rescues Ts65Dn developmental delay [18]</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Preclinical (Ts65Dn)</w:t>
            </w:r>
          </w:p>
        </w:tc>
        <w:tc>
          <w:tcPr>
            <w:tcW w:w="1760" w:type="dxa"/>
            <w:tcBorders>
              <w:top w:val="single" w:sz="2" w:space="0" w:color="CCCCCC"/>
              <w:left w:val="single" w:sz="2" w:space="0" w:color="CCCCCC"/>
              <w:bottom w:val="single" w:sz="2" w:space="0" w:color="CCCCCC"/>
              <w:right w:val="single" w:sz="2" w:space="0" w:color="CCCCCC"/>
            </w:tcBorders>
            <w:shd w:color="auto" w:fill="D4EDDA" w:val="clear"/>
            <w:vAlign w:val="center"/>
          </w:tcPr>
          <w:p>
            <w:pPr>
              <w:pStyle w:val="Normal"/>
              <w:rPr/>
            </w:pPr>
            <w:r>
              <w:rPr>
                <w:rFonts w:eastAsia="Arial" w:cs="Arial"/>
                <w:b w:val="false"/>
                <w:bCs w:val="false"/>
                <w:sz w:val="18"/>
                <w:szCs w:val="18"/>
                <w:lang w:val="en-US"/>
              </w:rPr>
              <w:t>High — proof of concept</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Antioxidant therapy (SOD1 modulation)</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SOD1 triplication → oxidative stress → neuronal damage</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Inconsistent clinical results</w:t>
            </w:r>
          </w:p>
        </w:tc>
        <w:tc>
          <w:tcPr>
            <w:tcW w:w="1760" w:type="dxa"/>
            <w:tcBorders>
              <w:top w:val="single" w:sz="2" w:space="0" w:color="CCCCCC"/>
              <w:left w:val="single" w:sz="2" w:space="0" w:color="CCCCCC"/>
              <w:bottom w:val="single" w:sz="2" w:space="0" w:color="CCCCCC"/>
              <w:right w:val="single" w:sz="2" w:space="0" w:color="CCCCCC"/>
            </w:tcBorders>
            <w:shd w:color="auto" w:fill="F8D7DA" w:val="clear"/>
            <w:vAlign w:val="center"/>
          </w:tcPr>
          <w:p>
            <w:pPr>
              <w:pStyle w:val="Normal"/>
              <w:rPr/>
            </w:pPr>
            <w:r>
              <w:rPr>
                <w:rFonts w:eastAsia="Arial" w:cs="Arial"/>
                <w:b w:val="false"/>
                <w:bCs w:val="false"/>
                <w:sz w:val="18"/>
                <w:szCs w:val="18"/>
                <w:lang w:val="en-US"/>
              </w:rPr>
              <w:t>Low</w:t>
            </w:r>
          </w:p>
        </w:tc>
      </w:tr>
      <w:tr>
        <w:trPr/>
        <w:tc>
          <w:tcPr>
            <w:tcW w:w="2398"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XIST-mediated chromosome silencing</w:t>
            </w:r>
          </w:p>
        </w:tc>
        <w:tc>
          <w:tcPr>
            <w:tcW w:w="2802"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Silence extra chr21 using XIST RNA insertion; proof of concept in iPSC models</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rPr/>
            </w:pPr>
            <w:r>
              <w:rPr>
                <w:rFonts w:eastAsia="Arial" w:cs="Arial"/>
                <w:b w:val="false"/>
                <w:bCs w:val="false"/>
                <w:sz w:val="18"/>
                <w:szCs w:val="18"/>
                <w:lang w:val="en-US"/>
              </w:rPr>
              <w:t>Early preclinical</w:t>
            </w:r>
          </w:p>
        </w:tc>
        <w:tc>
          <w:tcPr>
            <w:tcW w:w="1760" w:type="dxa"/>
            <w:tcBorders>
              <w:top w:val="single" w:sz="2" w:space="0" w:color="CCCCCC"/>
              <w:left w:val="single" w:sz="2" w:space="0" w:color="CCCCCC"/>
              <w:bottom w:val="single" w:sz="2" w:space="0" w:color="CCCCCC"/>
              <w:right w:val="single" w:sz="2" w:space="0" w:color="CCCCCC"/>
            </w:tcBorders>
            <w:shd w:color="auto" w:fill="FFF3CD" w:val="clear"/>
            <w:vAlign w:val="center"/>
          </w:tcPr>
          <w:p>
            <w:pPr>
              <w:pStyle w:val="Normal"/>
              <w:rPr/>
            </w:pPr>
            <w:r>
              <w:rPr>
                <w:rFonts w:eastAsia="Arial" w:cs="Arial"/>
                <w:b w:val="false"/>
                <w:bCs w:val="false"/>
                <w:sz w:val="18"/>
                <w:szCs w:val="18"/>
                <w:lang w:val="en-US"/>
              </w:rPr>
              <w:t>Theoretically highest efficacy; practically very challenging</w:t>
            </w:r>
          </w:p>
        </w:tc>
      </w:tr>
    </w:tbl>
    <w:p>
      <w:pPr>
        <w:pStyle w:val="Normal"/>
        <w:spacing w:before="0" w:after="120"/>
        <w:rPr/>
      </w:pPr>
      <w:r>
        <w:rPr/>
      </w:r>
    </w:p>
    <w:p>
      <w:pPr>
        <w:pStyle w:val="Normal"/>
        <w:spacing w:before="0" w:after="160"/>
        <w:rPr/>
      </w:pPr>
      <w:r>
        <w:rPr>
          <w:rFonts w:eastAsia="Arial" w:cs="Arial"/>
          <w:sz w:val="22"/>
          <w:szCs w:val="22"/>
          <w:lang w:val="en-US"/>
        </w:rPr>
        <w:t>We propose that IL-13/TSLP blockade is not competitive with but complementary to DYRK1A inhibition and neurotrophic approaches. A combined prenatal anti-inflammatory and neurotrophic intervention strategy may produce additive or synergistic benefits across the three vulnerability windows. Future combination preclinical studies in Ts65Dn and Dp16 models are warranted.</w:t>
      </w:r>
    </w:p>
    <w:p>
      <w:pPr>
        <w:pStyle w:val="Heading1"/>
        <w:rPr/>
      </w:pPr>
      <w:r>
        <w:rPr>
          <w:rFonts w:eastAsia="Arial" w:cs="Arial"/>
          <w:b/>
          <w:bCs/>
          <w:lang w:val="en-US"/>
        </w:rPr>
        <w:t>6. Neuroinflammatory Vulnerability Windows: Framework</w:t>
      </w:r>
    </w:p>
    <w:p>
      <w:pPr>
        <w:pStyle w:val="Normal"/>
        <w:spacing w:before="0" w:after="160"/>
        <w:rPr/>
      </w:pPr>
      <w:r>
        <w:t>The concept of critical periods in neural development is well established [10,11]. Critical periods are windows during which neural circuits are maximally plastic and perturbation produces disproportionate, often permanent, consequences. We propose that inflammatory dysregulation in T21 cells interacts with these established critical periods to create neuroinflammatory vulnerability windows—phases during which the combination of neural plasticity and cytokine dysregulation generates the greatest risk of aberrant circuit formation.</w:t>
      </w:r>
    </w:p>
    <w:p>
      <w:pPr>
        <w:pStyle w:val="Normal"/>
        <w:spacing w:before="0" w:after="160"/>
        <w:rPr/>
      </w:pPr>
      <w:r>
        <w:rPr>
          <w:lang w:val="en-US"/>
        </w:rPr>
        <w:t>Figures 2 and 4 show how these windows are related to drug availability in the fetal compartment: Figure 2 superimposes the simulated fetal antibody concentration on the three windows, and Figure 4 shows the FcRn-mediated transfer function that governs the lag between maternal dosing and fetal exposure.</w:t>
      </w:r>
    </w:p>
    <w:p>
      <w:pPr>
        <w:pStyle w:val="Normal"/>
        <w:spacing w:before="0" w:after="120"/>
        <w:rPr/>
      </w:pPr>
      <w:r>
        <w:rPr/>
      </w:r>
    </w:p>
    <w:p>
      <w:pPr>
        <w:pStyle w:val="Normal"/>
        <w:spacing w:before="0" w:after="100"/>
        <w:rPr/>
      </w:pPr>
      <w:r>
        <w:rPr>
          <w:lang w:val="en-US"/>
        </w:rPr>
        <w:t>Because placental IgG transfer is minimal before approximately week 20, Window I is reachable only through maternal systemic effects, whereas Windows II and III are the only windows in which direct fetal antibody exposure is pharmacokinetically plausible — a constraint that shapes the entire dosing rationale developed in Section 8.</w:t>
      </w:r>
    </w:p>
    <w:p>
      <w:pPr>
        <w:pStyle w:val="Normal"/>
        <w:spacing w:before="0" w:after="120"/>
        <w:rPr/>
      </w:pPr>
      <w:r>
        <w:rPr/>
      </w:r>
    </w:p>
    <w:p>
      <w:pPr>
        <w:pStyle w:val="Normal"/>
        <w:spacing w:before="0" w:after="160"/>
        <w:rPr/>
      </w:pPr>
      <w:r>
        <w:rPr>
          <w:rFonts w:eastAsia="Arial" w:cs="Arial"/>
          <w:sz w:val="22"/>
          <w:szCs w:val="22"/>
          <w:lang w:val="en-US"/>
        </w:rPr>
        <w:t>These intervals should not be interpreted as sharply bounded or universally exclusive developmental phases. Human neurodevelopmental processes substantially overlap, vary by brain region, and extend beyond the gestational intervals used here. The proposed windows are therefore heuristic temporal domains intended to facilitate experimental design and dosing-schedule modeling rather than precise biological boundaries.</w:t>
      </w:r>
    </w:p>
    <w:p>
      <w:pPr>
        <w:pStyle w:val="Heading2"/>
        <w:rPr/>
      </w:pPr>
      <w:r>
        <w:rPr>
          <w:rFonts w:eastAsia="Arial" w:cs="Arial"/>
          <w:b/>
          <w:bCs/>
          <w:lang w:val="en-US"/>
        </w:rPr>
        <w:t>6.1 Window I: Early Neurogenesis (weeks 8–16)</w:t>
      </w:r>
    </w:p>
    <w:p>
      <w:pPr>
        <w:pStyle w:val="Normal"/>
        <w:spacing w:before="0" w:after="160"/>
        <w:rPr/>
      </w:pPr>
      <w:r>
        <w:t>Primary cortical neurogenesis and radial migration occur between weeks 8 and 16. RNA-seq of T21 fetal brain tissue at 13–22 weeks reveals robust transcriptional disruptions, including ADARB1 overexpression, that drive premature RNA recoding [14]. IL-13 dysregulation during this window may alter cortical lamination and neuronal migration trajectories. FcRn-mediated IgG transfer is minimal at this stage; a Week 12 injection primarily exerts anti-inflammatory effects via maternal systemic cytokine reduction rather than direct fetal drug exposure.</w:t>
      </w:r>
    </w:p>
    <w:p>
      <w:pPr>
        <w:pStyle w:val="Heading2"/>
        <w:rPr/>
      </w:pPr>
      <w:r>
        <w:rPr>
          <w:rFonts w:eastAsia="Arial" w:cs="Arial"/>
          <w:b/>
          <w:bCs/>
          <w:lang w:val="en-US"/>
        </w:rPr>
        <w:t>6.2 Window II: Synaptic Pruning (Weeks 20–28)</w:t>
      </w:r>
    </w:p>
    <w:p>
      <w:pPr>
        <w:pStyle w:val="Normal"/>
        <w:spacing w:before="0" w:after="160"/>
        <w:rPr/>
      </w:pPr>
      <w:r>
        <w:rPr>
          <w:rFonts w:eastAsia="Arial" w:cs="Arial"/>
          <w:sz w:val="22"/>
          <w:szCs w:val="22"/>
          <w:lang w:val="en-US"/>
        </w:rPr>
        <w:t>Microglia-mediated synaptic pruning refines neural circuitry from the second trimester onward. In Ts65Dn and Dp16 models, activated microglial phenotypes produce aberrant pruning patterns and altered dendritic spine dynamics [15,16]. IL-13 has been implicated in modulating microglial activation states and complement-mediated synapse elimination. A Week 24 of injection coincides with increased FcRn-mediated placental transfer, resulting in increased direct fetal IL-13 suppression during this window.</w:t>
      </w:r>
    </w:p>
    <w:p>
      <w:pPr>
        <w:pStyle w:val="Heading2"/>
        <w:rPr/>
      </w:pPr>
      <w:r>
        <w:rPr>
          <w:rFonts w:eastAsia="Arial" w:cs="Arial"/>
          <w:b/>
          <w:bCs/>
          <w:lang w:val="en-US"/>
        </w:rPr>
        <w:t>6.3 Window III: Myelination (Weeks 28–36)</w:t>
      </w:r>
    </w:p>
    <w:p>
      <w:pPr>
        <w:pStyle w:val="Normal"/>
        <w:spacing w:before="0" w:after="160"/>
        <w:rPr/>
      </w:pPr>
      <w:r>
        <w:rPr>
          <w:rFonts w:eastAsia="Arial" w:cs="Arial"/>
          <w:sz w:val="22"/>
          <w:szCs w:val="22"/>
          <w:lang w:val="en-US"/>
        </w:rPr>
        <w:t>Oligodendrocyte maturation and axonal myelination onset in the third trimester represent the third vulnerability window. TSLP along with IL-13 impairs oligodendrocyte precursor differentiation in vitro [17]. A Week 32 injection provides high fetal drug exposure (approaching or exceeding maternal levels) during the period of maximal myelination window vulnerability, providing the most direct anti-inflammatory protection at the fetal level.</w:t>
      </w:r>
    </w:p>
    <w:p>
      <w:pPr>
        <w:pStyle w:val="Heading1"/>
        <w:rPr/>
      </w:pPr>
      <w:r>
        <w:rPr>
          <w:rFonts w:eastAsia="Arial" w:cs="Arial"/>
          <w:b/>
          <w:bCs/>
          <w:lang w:val="en-US"/>
        </w:rPr>
        <w:t>7. Translational Precedent: Prenatal Biologic Intervention Is an Established Field</w:t>
      </w:r>
    </w:p>
    <w:p>
      <w:pPr>
        <w:pStyle w:val="Normal"/>
        <w:spacing w:before="0" w:after="160"/>
        <w:rPr/>
      </w:pPr>
      <w:r>
        <w:rPr>
          <w:rFonts w:eastAsia="Arial" w:cs="Arial"/>
          <w:sz w:val="22"/>
          <w:szCs w:val="22"/>
          <w:lang w:val="en-US"/>
        </w:rPr>
        <w:t>A common objection to prenatal biologic intervention frameworks is that the concept is too novel or speculative. In fact, prenatal therapeutic intervention is a well-established and expanding field. The following examples demonstrate that the general strategy — diagnosing a condition prenatally and intervening during fetal development to improve postnatal outcomes — has moved from theoretical to clinical in multiple disease contexts.</w:t>
      </w:r>
    </w:p>
    <w:p>
      <w:pPr>
        <w:pStyle w:val="Heading2"/>
        <w:rPr/>
      </w:pPr>
      <w:r>
        <w:rPr>
          <w:lang w:val="en-US"/>
        </w:rPr>
        <w:t>7.1 In utero enzyme replacement therapy</w:t>
      </w:r>
    </w:p>
    <w:p>
      <w:pPr>
        <w:pStyle w:val="Normal"/>
        <w:spacing w:before="0" w:after="160"/>
        <w:rPr/>
      </w:pPr>
      <w:r>
        <w:rPr>
          <w:rFonts w:eastAsia="Arial" w:cs="Arial"/>
          <w:sz w:val="22"/>
          <w:szCs w:val="22"/>
          <w:lang w:val="en-US"/>
        </w:rPr>
        <w:t>Cohen et al. (2022) reported in the New England Journal of Medicine the first in utero enzyme replacement therapy for infantile-onset Pompe’s disease, a lysosomal storage disorder [34]. Prenatal ERT was administered to a prenatally diagnosed fetus via intravenous infusion, preventing the onset of cardiac and skeletal muscle damage in utero. Preclinical studies have also demonstrated the use of in utero ERT for treating Hurler syndrome and Gaucher disease, which target critical periods of fetal development during which irreversible organ damage would otherwise occur [35].</w:t>
      </w:r>
    </w:p>
    <w:p>
      <w:pPr>
        <w:pStyle w:val="Heading2"/>
        <w:rPr/>
      </w:pPr>
      <w:r>
        <w:rPr>
          <w:rFonts w:eastAsia="Arial" w:cs="Arial"/>
          <w:b/>
          <w:bCs/>
          <w:lang w:val="en-US"/>
        </w:rPr>
        <w:t>7.2 Prenatal Gene Therapy and Antisense Oligonucleotides</w:t>
      </w:r>
    </w:p>
    <w:p>
      <w:pPr>
        <w:pStyle w:val="Normal"/>
        <w:spacing w:before="0" w:after="160"/>
        <w:rPr/>
      </w:pPr>
      <w:r>
        <w:rPr>
          <w:rFonts w:eastAsia="Arial" w:cs="Arial"/>
          <w:sz w:val="22"/>
          <w:szCs w:val="22"/>
          <w:lang w:val="en-US"/>
        </w:rPr>
        <w:t>In utero gene therapy for spinal muscular atrophy (SMA) has progressed from animal models to early-phase human considerations [36]. Intra-amniotic antisense oligonucleotide (ASO) treatment improves phenotypes in preclinical SMA models [37]. Clarke et al. (2024) demonstrated that prenatal ASO delivery achieves broad biodistribution in the brain and ameliorates the Angelman syndrome phenotype in mice [38]. These examples establish that targeting CNS conditions in utero via pharmacological agents is not only theoretically possible but also achieves proof-of-concept results in relevant models.</w:t>
      </w:r>
    </w:p>
    <w:p>
      <w:pPr>
        <w:pStyle w:val="Heading2"/>
        <w:rPr/>
      </w:pPr>
      <w:r>
        <w:rPr>
          <w:rFonts w:eastAsia="Arial" w:cs="Arial"/>
          <w:b/>
          <w:bCs/>
          <w:lang w:val="en-US"/>
        </w:rPr>
        <w:t>7.3 Monoclonal Antibodies in Pregnancy</w:t>
      </w:r>
    </w:p>
    <w:p>
      <w:pPr>
        <w:pStyle w:val="Normal"/>
        <w:spacing w:before="0" w:after="160"/>
        <w:rPr/>
      </w:pPr>
      <w:r>
        <w:t>Anti-TNFα agents (infliximab, adalimumab, and certolizumab) are used during pregnancy in patients with inflammatory bowel disease, with current evidence supporting their safety and efficacy [39]. The MSBase Pregnancy Registry (2025) reported no overt safety signals across 1,887 pregnancies with monoclonal antibody exposure [40]. Omalizumab and mepolizumab have been used during pregnancy for severe asthma, with emerging data supporting the continuation of therapy where disease severity warrants it [41]. These precedents do not prove that IL-13/TSLP-targeting biologics are safe in pregnancy, but they establish that (a) monoclonal antibodies are increasingly used in pregnancy; (b) the field of “prenatal biologic intervention” is mature; and (c) regulatory and clinical infrastructure for such studies exists.</w:t>
      </w:r>
    </w:p>
    <w:p>
      <w:pPr>
        <w:pStyle w:val="Heading1"/>
        <w:rPr/>
      </w:pPr>
      <w:r>
        <w:rPr>
          <w:rFonts w:eastAsia="Arial" w:cs="Arial"/>
          <w:b/>
          <w:bCs/>
          <w:lang w:val="en-US"/>
        </w:rPr>
        <w:t>8. Hypothetical Exposure Windows for Preclinical Investigation</w:t>
      </w:r>
    </w:p>
    <w:p>
      <w:pPr>
        <w:pStyle w:val="Normal"/>
        <w:spacing w:before="0" w:after="160"/>
        <w:rPr/>
      </w:pPr>
      <w:r>
        <w:rPr>
          <w:rFonts w:eastAsia="Arial" w:cs="Arial"/>
          <w:sz w:val="22"/>
          <w:szCs w:val="22"/>
          <w:lang w:val="en-US"/>
        </w:rPr>
        <w:t>The following sequence of candidate developmental timepoints is intended to guide preclinical modeling: organoid dosing schedules, animal-model dosing schedules, and simulation inputs. It is not a clinical protocol, and none of the steps below describe a treatment being proposed, offered, or enacted for any pregnancy.</w:t>
      </w:r>
    </w:p>
    <w:p>
      <w:pPr>
        <w:pStyle w:val="Normal"/>
        <w:spacing w:before="0" w:after="120"/>
        <w:rPr/>
      </w:pPr>
      <w:r>
        <w:rPr>
          <w:rFonts w:eastAsia="Arial" w:cs="Arial"/>
          <w:sz w:val="22"/>
          <w:szCs w:val="22"/>
          <w:lang w:val="en-US"/>
        </w:rPr>
        <w:t>Step 1 — Hypothetical Diagnostic Timepoint (approximately Weeks 10–12 equivalent): In any future clinical translation, this timepoint would follow noninvasive prenatal testing (NIPT)-confirmed T21 diagnosis, genetic counseling, and full bioethics review and informed consent. No such process is proposed or implied here; this step exists only to anchor the modeling timeline to a realistic point of clinical entry.</w:t>
      </w:r>
    </w:p>
    <w:p>
      <w:pPr>
        <w:pStyle w:val="Normal"/>
        <w:spacing w:before="0" w:after="120"/>
        <w:rPr/>
      </w:pPr>
      <w:r>
        <w:rPr>
          <w:rFonts w:eastAsia="Arial" w:cs="Arial"/>
          <w:sz w:val="22"/>
          <w:szCs w:val="22"/>
          <w:lang w:val="en-US"/>
        </w:rPr>
        <w:t>Step 2 — Hypothetical baseline profiling timepoint (approximately week 12 equivalent): A candidate baseline measurement — maternal and fetal inflammatory biomarker profiling (IL-13, TSLP, IL-4, IFN-β, TNF-α) — to be modeled here and, eventually, tested in animal or organoid systems.</w:t>
      </w:r>
    </w:p>
    <w:p>
      <w:pPr>
        <w:pStyle w:val="Normal"/>
        <w:spacing w:before="0" w:after="120"/>
        <w:rPr/>
      </w:pPr>
      <w:r>
        <w:rPr>
          <w:rFonts w:eastAsia="Arial" w:cs="Arial"/>
          <w:sz w:val="22"/>
          <w:szCs w:val="22"/>
          <w:lang w:val="en-US"/>
        </w:rPr>
        <w:t xml:space="preserve">Step 3 — Hypothetical early-exposure scenario (approximately gestational weeks 10–16 equivalent): Extended-interval IL-13/TSLP biologic (zumilokibart or APG273) dosing modeled subcutaneously. Minimal direct fetal exposure </w:t>
      </w:r>
      <w:r>
        <w:rPr>
          <w:lang w:val="en-US"/>
        </w:rPr>
        <w:t xml:space="preserve">is </w:t>
      </w:r>
      <w:r>
        <w:rPr>
          <w:rFonts w:eastAsia="Arial" w:cs="Arial"/>
          <w:sz w:val="22"/>
          <w:szCs w:val="22"/>
          <w:lang w:val="en-US"/>
        </w:rPr>
        <w:t>anticipated, primarily targeting maternal systemic inflammation during Window I.</w:t>
      </w:r>
    </w:p>
    <w:p>
      <w:pPr>
        <w:pStyle w:val="Normal"/>
        <w:spacing w:before="0" w:after="120"/>
        <w:rPr/>
      </w:pPr>
      <w:r>
        <w:rPr>
          <w:rFonts w:eastAsia="Arial" w:cs="Arial"/>
          <w:sz w:val="22"/>
          <w:szCs w:val="22"/>
          <w:lang w:val="en-US"/>
        </w:rPr>
        <w:t>Step 4 — Hypothetical Mid-Exposure Scenario (approximately 20–28 gestational equivalent weeks): Dosing is modeled during the rising FcRn transfer period. Targets Window II with increasing direct fetal drug exposure.</w:t>
      </w:r>
    </w:p>
    <w:p>
      <w:pPr>
        <w:pStyle w:val="Normal"/>
        <w:spacing w:before="0" w:after="120"/>
        <w:rPr/>
      </w:pPr>
      <w:r>
        <w:rPr>
          <w:rFonts w:eastAsia="Arial" w:cs="Arial"/>
          <w:sz w:val="22"/>
          <w:szCs w:val="22"/>
          <w:lang w:val="en-US"/>
        </w:rPr>
        <w:t>Step 5 — Hypothetical late-exposure scenario (approximately 28–36 gestational equivalent weeks): Dosing modeled during the high fetal transfer period approaching maternal levels. Targets Window III with maximum direct fetal anti-inflammatory protection.</w:t>
      </w:r>
    </w:p>
    <w:p>
      <w:pPr>
        <w:pStyle w:val="Normal"/>
        <w:spacing w:before="0" w:after="120"/>
        <w:rPr/>
      </w:pPr>
      <w:r>
        <w:rPr>
          <w:rFonts w:eastAsia="Arial" w:cs="Arial"/>
          <w:sz w:val="22"/>
          <w:szCs w:val="22"/>
          <w:lang w:val="en-US"/>
        </w:rPr>
        <w:t>Step 6 — Hypothetical Longitudinal Assessment Timepoint (postnatal, for future study design): Neurodevelopmental assessment from birth through early childhood using the Bayley Scales of Infant and Toddler Development and Vineland Adaptive Behavior Scales, with inflammatory biomarker monitoring.</w:t>
      </w:r>
    </w:p>
    <w:p>
      <w:pPr>
        <w:pStyle w:val="Normal"/>
        <w:spacing w:before="0" w:after="160"/>
        <w:rPr/>
      </w:pPr>
      <w:r>
        <w:rPr>
          <w:rFonts w:eastAsia="Arial" w:cs="Arial"/>
          <w:sz w:val="22"/>
          <w:szCs w:val="22"/>
          <w:lang w:val="en-US"/>
        </w:rPr>
        <w:t>These gestational ranges are illustrative placeholders for pharmacokinetic modeling and preclinical experimental design — they were chosen to align with the three vulnerability windows introduced in Section 6, not derived from any dosing trial, and should not be read as a proposed clinical dosing recommendation.</w:t>
      </w:r>
    </w:p>
    <w:p>
      <w:pPr>
        <w:pStyle w:val="Normal"/>
        <w:spacing w:before="0" w:after="160"/>
        <w:rPr/>
      </w:pPr>
      <w:r>
        <w:rPr>
          <w:rFonts w:eastAsia="Arial" w:cs="Arial"/>
          <w:sz w:val="22"/>
          <w:szCs w:val="22"/>
          <w:lang w:val="en-US"/>
        </w:rPr>
        <w:t>This paper is deliberately silent on postnatal or adult dosing, including the separate and more established hypothesis that IL-13 blockade might mitigate neuroinflammation-driven Alzheimer’s-type pathology in adults with T21 [7]. The two ideas share a cytokine target but rely on different mechanisms, different risk–benefit calculations, and fundamentally different consent contexts—a fetus cannot consent, and prenatal intervention is assessed against maternal–fetal risk, while adult intervention is assessed against the individual’s own informed consent. We do not extend the present framework into the postnatal period, and nothing in Step 6 above should be read as proposing a postnatal treatment protocol.</w:t>
      </w:r>
    </w:p>
    <w:p>
      <w:pPr>
        <w:pStyle w:val="Normal"/>
        <w:spacing w:before="0" w:after="160"/>
        <w:rPr/>
      </w:pPr>
      <w:r>
        <w:rPr>
          <w:rFonts w:eastAsia="Arial" w:cs="Arial"/>
          <w:sz w:val="22"/>
          <w:szCs w:val="22"/>
          <w:lang w:val="en-US"/>
        </w:rPr>
        <w:t>What step 6 does propose is narrower: serial measurement of inflammatory biomarkers (IL-13, TSLP, interferon-stimulated gene expression) alongside the standard Bayley and Vineland assessments through early childhood. This serves two purposes distinct from treatment: It tests whether the prenatal intervention’s effect on neuroinflammatory markers persists postnatally, and it generates exactly the kind of longitudinal biomarker dataset that a future, separately justified postnatal or adult study would need as a starting point. We regard that as the appropriate scope for this framework at its current stage of evidence.</w:t>
      </w:r>
    </w:p>
    <w:p>
      <w:pPr>
        <w:pStyle w:val="Heading1"/>
        <w:rPr/>
      </w:pPr>
      <w:r>
        <w:rPr>
          <w:rFonts w:eastAsia="Arial" w:cs="Arial"/>
          <w:b/>
          <w:bCs/>
          <w:lang w:val="en-US"/>
        </w:rPr>
        <w:t>9. Proposed Preclinical Research Programme</w:t>
      </w:r>
    </w:p>
    <w:p>
      <w:pPr>
        <w:pStyle w:val="Heading2"/>
        <w:rPr/>
      </w:pPr>
      <w:r>
        <w:rPr>
          <w:rFonts w:eastAsia="Arial" w:cs="Arial"/>
          <w:b/>
          <w:bCs/>
          <w:lang w:val="en-US"/>
        </w:rPr>
        <w:t xml:space="preserve">9.1 In </w:t>
      </w:r>
      <w:r>
        <w:rPr>
          <w:lang w:val="en-US"/>
        </w:rPr>
        <w:t>vitro/organoid studies</w:t>
      </w:r>
    </w:p>
    <w:p>
      <w:pPr>
        <w:pStyle w:val="Normal"/>
        <w:spacing w:before="0" w:after="160"/>
        <w:rPr/>
      </w:pPr>
      <w:r>
        <w:rPr>
          <w:rFonts w:eastAsia="Arial" w:cs="Arial"/>
          <w:sz w:val="22"/>
          <w:szCs w:val="22"/>
          <w:lang w:val="en-US"/>
        </w:rPr>
        <w:t>Primary T21 neuronal cultures and T21 iPSC-derived cerebral organoids should be used to test whether blockade of IL-13 and TSLP alters neurogenesis rates, synaptic marker expression, microglial activation, and oligodendrocyte differentiation. These models are ethically accessible and can generate preliminary mechanistic data within 12–18 months.</w:t>
      </w:r>
    </w:p>
    <w:p>
      <w:pPr>
        <w:pStyle w:val="Heading2"/>
        <w:rPr/>
      </w:pPr>
      <w:r>
        <w:rPr>
          <w:rFonts w:eastAsia="Arial" w:cs="Arial"/>
          <w:b/>
          <w:bCs/>
          <w:lang w:val="en-US"/>
        </w:rPr>
        <w:t>9.2 Rodent Model Studies</w:t>
      </w:r>
    </w:p>
    <w:p>
      <w:pPr>
        <w:pStyle w:val="Normal"/>
        <w:spacing w:before="0" w:after="160"/>
        <w:rPr/>
      </w:pPr>
      <w:r>
        <w:rPr>
          <w:rFonts w:eastAsia="Arial" w:cs="Arial"/>
          <w:sz w:val="22"/>
          <w:szCs w:val="22"/>
          <w:lang w:val="en-US"/>
        </w:rPr>
        <w:t>Despite its nonorthologous Mmu17 gene triplication [42], the Ts65Dn mouse model remains the most extensively validated preclinical DS platform. Anti-IL-13 or anti-TSLP antibody analogs should be administered to pregnant Ts65Dn dams at gestational timepoints corresponding to the three vulnerability windows. Offspring should be assessed for neurodevelopmental markers, synaptic density, myelination indices, microglial activation, and cognitive performance. The Dp16 mouse model, which more accurately replicates the human T21 gene content [12], should provide confirmatory data.</w:t>
      </w:r>
    </w:p>
    <w:p>
      <w:pPr>
        <w:pStyle w:val="Heading2"/>
        <w:rPr/>
      </w:pPr>
      <w:r>
        <w:rPr>
          <w:rFonts w:eastAsia="Arial" w:cs="Arial"/>
          <w:b/>
          <w:bCs/>
          <w:lang w:val="en-US"/>
        </w:rPr>
        <w:t>9.3 Placental Pharmacokinetics Studies</w:t>
      </w:r>
    </w:p>
    <w:p>
      <w:pPr>
        <w:pStyle w:val="Normal"/>
        <w:spacing w:before="0" w:after="160"/>
        <w:rPr/>
      </w:pPr>
      <w:r>
        <w:rPr>
          <w:rFonts w:eastAsia="Arial" w:cs="Arial"/>
          <w:sz w:val="22"/>
          <w:szCs w:val="22"/>
          <w:lang w:val="en-US"/>
        </w:rPr>
        <w:t>Ex vivo human placental perfusion models should characterize the transfer rates of zumilokibart and APG273 by gestational age and compare transfer between euploid and T21 placentae given the documented differences in placental gene expression in DS [9]. The Fc engineering approach demonstrated by certolizumab’s PEGylated Fab [29] should be explored if safety data suggest that limiting fetal exposure is preferable.</w:t>
      </w:r>
    </w:p>
    <w:p>
      <w:pPr>
        <w:pStyle w:val="Heading2"/>
        <w:rPr/>
      </w:pPr>
      <w:r>
        <w:rPr>
          <w:rFonts w:eastAsia="Arial" w:cs="Arial"/>
          <w:b/>
          <w:bCs/>
          <w:lang w:val="en-US"/>
        </w:rPr>
        <w:t>9.4 Non-Human Primate Studies</w:t>
      </w:r>
    </w:p>
    <w:p>
      <w:pPr>
        <w:pStyle w:val="Normal"/>
        <w:spacing w:before="0" w:after="160"/>
        <w:rPr/>
      </w:pPr>
      <w:r>
        <w:rPr>
          <w:rFonts w:eastAsia="Arial" w:cs="Arial"/>
          <w:sz w:val="22"/>
          <w:szCs w:val="22"/>
          <w:lang w:val="en-US"/>
        </w:rPr>
        <w:t xml:space="preserve">Given evidence that </w:t>
      </w:r>
      <w:r>
        <w:rPr>
          <w:lang w:val="en-US"/>
        </w:rPr>
        <w:t>the</w:t>
      </w:r>
      <w:r>
        <w:rPr>
          <w:rFonts w:eastAsia="Arial" w:cs="Arial"/>
          <w:sz w:val="22"/>
          <w:szCs w:val="22"/>
          <w:lang w:val="en-US"/>
        </w:rPr>
        <w:t xml:space="preserve"> placental transfer </w:t>
      </w:r>
      <w:r>
        <w:rPr>
          <w:lang w:val="en-US"/>
        </w:rPr>
        <w:t xml:space="preserve">of IgG </w:t>
      </w:r>
      <w:r>
        <w:rPr>
          <w:rFonts w:eastAsia="Arial" w:cs="Arial"/>
          <w:sz w:val="22"/>
          <w:szCs w:val="22"/>
          <w:lang w:val="en-US"/>
        </w:rPr>
        <w:t>in primates may require a second Fc receptor beyond FcRn [43], NHP pharmacokinetic and reproductive toxicology studies are essential before its human application. These studies should characterize transplacental transfer, fetal drug levels, teratogenicity, and offspring neurodevelopment across relevant dosing intervals.</w:t>
      </w:r>
    </w:p>
    <w:p>
      <w:pPr>
        <w:pStyle w:val="Heading1"/>
        <w:rPr/>
      </w:pPr>
      <w:r>
        <w:rPr>
          <w:rFonts w:eastAsia="Arial" w:cs="Arial"/>
          <w:b/>
          <w:bCs/>
          <w:lang w:val="en-US"/>
        </w:rPr>
        <w:t>10. Falsifiability Criteria</w:t>
      </w:r>
    </w:p>
    <w:p>
      <w:pPr>
        <w:pStyle w:val="Normal"/>
        <w:spacing w:before="0" w:after="160"/>
        <w:rPr/>
      </w:pPr>
      <w:r>
        <w:rPr>
          <w:rFonts w:eastAsia="Arial" w:cs="Arial"/>
          <w:sz w:val="22"/>
          <w:szCs w:val="22"/>
          <w:lang w:val="en-US"/>
        </w:rPr>
        <w:t>A hallmark of a testable scientific hypothesis is that it specifies the conditions under which it would be falsified. The following findings, if obtained in well-designed preclinical studies, would substantially weaken or falsify the central claims of this framework:</w:t>
      </w:r>
    </w:p>
    <w:p>
      <w:pPr>
        <w:pStyle w:val="Normal"/>
        <w:spacing w:before="0" w:after="120"/>
        <w:rPr/>
      </w:pPr>
      <w:r>
        <w:t>1. No reduction in neuroinflammatory biomarkers: If IL-13 or TSLP blockade in T21 iPSC organoids or T21 mouse models fails to reduce the expression of IL-13, microglial activation markers, or interferon-stimulated genes, the underlying mechanism of the intervention is undermined.</w:t>
      </w:r>
    </w:p>
    <w:p>
      <w:pPr>
        <w:pStyle w:val="Normal"/>
        <w:spacing w:before="0" w:after="120"/>
        <w:rPr/>
      </w:pPr>
      <w:r>
        <w:rPr>
          <w:rFonts w:eastAsia="Arial" w:cs="Arial"/>
          <w:sz w:val="22"/>
          <w:szCs w:val="22"/>
          <w:lang w:val="en-US"/>
        </w:rPr>
        <w:t xml:space="preserve">2. No improvement in neurodevelopmental outcomes in T21 organoids: If T21 cerebral organoids treated with IL-13 blockade show no difference in neurogenesis rates, synaptic marker expression, or cortical layer formation versus </w:t>
      </w:r>
      <w:r>
        <w:rPr>
          <w:lang w:val="en-US"/>
        </w:rPr>
        <w:t xml:space="preserve">that in </w:t>
      </w:r>
      <w:r>
        <w:rPr>
          <w:rFonts w:eastAsia="Arial" w:cs="Arial"/>
          <w:sz w:val="22"/>
          <w:szCs w:val="22"/>
          <w:lang w:val="en-US"/>
        </w:rPr>
        <w:t xml:space="preserve">untreated T21 organoids, </w:t>
      </w:r>
      <w:r>
        <w:rPr>
          <w:lang w:val="en-US"/>
        </w:rPr>
        <w:t>this</w:t>
      </w:r>
      <w:r>
        <w:rPr>
          <w:rFonts w:eastAsia="Arial" w:cs="Arial"/>
          <w:sz w:val="22"/>
          <w:szCs w:val="22"/>
          <w:lang w:val="en-US"/>
        </w:rPr>
        <w:t xml:space="preserve"> hypothesis is not supported in vitro.</w:t>
      </w:r>
    </w:p>
    <w:p>
      <w:pPr>
        <w:pStyle w:val="Normal"/>
        <w:spacing w:before="0" w:after="120"/>
        <w:rPr/>
      </w:pPr>
      <w:r>
        <w:rPr>
          <w:rFonts w:eastAsia="Arial" w:cs="Arial"/>
          <w:sz w:val="22"/>
          <w:szCs w:val="22"/>
          <w:lang w:val="en-US"/>
        </w:rPr>
        <w:t>3. No benefit in Ts65Dn or Dp16 mouse offspring: If pups born to dams treated with anti-IL-13 agents show no improvement in developmental milestones, synaptic density, myelination, or cognitive performance compared with those of untreated T21 controls, the in vivo foundation of the framework is absent.</w:t>
      </w:r>
    </w:p>
    <w:p>
      <w:pPr>
        <w:pStyle w:val="Normal"/>
        <w:spacing w:before="0" w:after="120"/>
        <w:rPr/>
      </w:pPr>
      <w:r>
        <w:rPr>
          <w:rFonts w:eastAsia="Arial" w:cs="Arial"/>
          <w:sz w:val="22"/>
          <w:szCs w:val="22"/>
          <w:lang w:val="en-US"/>
        </w:rPr>
        <w:t>4. Unacceptable fetal developmental toxicity: If anti-IL-13 or anti-TSLP agents administered to pregnant animals at the proposed timepoints produce teratogenic effects, growth restriction, or immunosuppression in offspring, the safety premise is falsified, and the framework would require fundamental redesign.</w:t>
      </w:r>
    </w:p>
    <w:p>
      <w:pPr>
        <w:pStyle w:val="Normal"/>
        <w:spacing w:before="0" w:after="120"/>
        <w:rPr/>
      </w:pPr>
      <w:r>
        <w:rPr>
          <w:rFonts w:eastAsia="Arial" w:cs="Arial"/>
          <w:sz w:val="22"/>
          <w:szCs w:val="22"/>
          <w:lang w:val="en-US"/>
        </w:rPr>
        <w:t>5. Failure to alter microglial activation during vulnerability windows: Since the proposed mechanism involves attenuating microglial-mediated aberrant pruning, failure to alter the microglial phenotype in the T21 fetal brain during the proposed treatment window would falsify the synaptic pruning component of the hypothesis.</w:t>
      </w:r>
    </w:p>
    <w:p>
      <w:pPr>
        <w:pStyle w:val="Normal"/>
        <w:spacing w:before="0" w:after="120"/>
        <w:rPr/>
      </w:pPr>
      <w:r>
        <w:rPr>
          <w:rFonts w:eastAsia="Arial" w:cs="Arial"/>
          <w:sz w:val="22"/>
          <w:szCs w:val="22"/>
          <w:lang w:val="en-US"/>
        </w:rPr>
        <w:t>6. Inadequate placental transfer to achieve fetal therapeutic concentrations: If pharmacokinetic studies demonstrate that zumilokibart or APG273 do not achieve fetal concentrations sufficient for IL-13 suppression during Windows II and III, the direct fetal mechanism for those windows is falsified (although maternal cytokine reduction in Window I could still be relevant).</w:t>
      </w:r>
    </w:p>
    <w:p>
      <w:pPr>
        <w:pStyle w:val="Normal"/>
        <w:rPr/>
      </w:pPr>
      <w:r>
        <w:rPr>
          <w:lang w:val="en-US"/>
        </w:rPr>
        <w:t>7. Disruption of early-pregnancy maternal–fetal tolerance: The preceding criteria would show the hypothesis to be useless; this one would show it to be harmful, and it is listed separately because a framework proposing intervention in pregnancy should state in advance what would count as evidence of harm. If IL-13 or TSLP blockade administered to pregnant animals during the Window I equivalent produces a measurable increase in resorption or fetal-loss rate, impaired decidualization or spiral-artery remodeling, or a preeclampsia-like phenotype relative to vehicle-treated T21-model dams — at exposures that do not produce those effects when given later in gestation — then the Th2-tolerance concern raised in Section 3.3 is confirmed rather than hypothetical, and Window I should be abandoned as an intervention target even if Windows II and III remain viable. This criterion is deliberately independent of whether any neurodevelopmental benefit is observed: a benefit in the offspring that survive would not offset it.</w:t>
      </w:r>
    </w:p>
    <w:p>
      <w:pPr>
        <w:pStyle w:val="Heading1"/>
        <w:rPr/>
      </w:pPr>
      <w:r>
        <w:rPr>
          <w:rFonts w:eastAsia="Arial" w:cs="Arial"/>
          <w:b/>
          <w:bCs/>
          <w:lang w:val="en-US"/>
        </w:rPr>
        <w:t>11. Limitations</w:t>
      </w:r>
    </w:p>
    <w:p>
      <w:pPr>
        <w:pStyle w:val="Normal"/>
        <w:spacing w:before="0" w:after="160"/>
        <w:rPr/>
      </w:pPr>
      <w:r>
        <w:rPr>
          <w:rFonts w:eastAsia="Arial" w:cs="Arial"/>
          <w:sz w:val="22"/>
          <w:szCs w:val="22"/>
          <w:lang w:val="en-US"/>
        </w:rPr>
        <w:t xml:space="preserve">This framework has the following significant limitations. First, no clinical safety data exist for zumilokibart or APG273 during pregnancy. Second, the mechanistic link between IL-13 blockade and improved fetal neurodevelopment, specifically in T21, rests on inference across multiple biological steps; direct experimental evidence is lacking. Third, IL-4 and IL-13 play roles in normal fetal immune development and placental function; systemic blockade during pregnancy could have unintended consequences for fetal immune maturation </w:t>
      </w:r>
      <w:r>
        <w:rPr>
          <w:lang w:val="en-US"/>
        </w:rPr>
        <w:t xml:space="preserve">that has </w:t>
      </w:r>
      <w:r>
        <w:rPr>
          <w:rFonts w:eastAsia="Arial" w:cs="Arial"/>
          <w:sz w:val="22"/>
          <w:szCs w:val="22"/>
          <w:lang w:val="en-US"/>
        </w:rPr>
        <w:t xml:space="preserve">not yet </w:t>
      </w:r>
      <w:r>
        <w:rPr>
          <w:lang w:val="en-US"/>
        </w:rPr>
        <w:t xml:space="preserve">been </w:t>
      </w:r>
      <w:r>
        <w:rPr>
          <w:rFonts w:eastAsia="Arial" w:cs="Arial"/>
          <w:sz w:val="22"/>
          <w:szCs w:val="22"/>
          <w:lang w:val="en-US"/>
        </w:rPr>
        <w:t>characterized. Fourth, the placental transfer characteristics of zumilokibart and APG273 are unknown; fetal exposure levels cannot currently be estimated. Fifth, the Ts65Dn mouse model has approximately 50 non-T21 orthologous genes, potentially confounding results [42]. Sixth, maternal inflammatory changes during pregnancy are complex and bidirectional; reducing type 2 cytokine signaling that supports maternal-fetal tolerance requires careful safety evaluation. This framework must not be used to counsel or pressure pregnant women toward any intervention.</w:t>
      </w:r>
    </w:p>
    <w:p>
      <w:pPr>
        <w:pStyle w:val="Heading1"/>
        <w:rPr/>
      </w:pPr>
      <w:r>
        <w:rPr>
          <w:rFonts w:eastAsia="Arial" w:cs="Arial"/>
          <w:b/>
          <w:bCs/>
          <w:lang w:val="en-US"/>
        </w:rPr>
        <w:t>12. Ethical Considerations</w:t>
      </w:r>
    </w:p>
    <w:p>
      <w:pPr>
        <w:pStyle w:val="Normal"/>
        <w:spacing w:before="0" w:after="160"/>
        <w:rPr/>
      </w:pPr>
      <w:r>
        <w:rPr>
          <w:rFonts w:eastAsia="Arial" w:cs="Arial"/>
          <w:sz w:val="22"/>
          <w:szCs w:val="22"/>
          <w:lang w:val="en-US"/>
        </w:rPr>
        <w:t>The history of prenatal intervention in the context of Down syndrome has a significant ethical weight, including troubling historical associations with eugenics movements. The author rejects any elimination-oriented framing and affirms that individuals with trisomy 21 enrich society and possess full human dignity. This framework is analogous to folate supplementation: reducing a harmful secondary process without any implications for the value of the person who will be born.</w:t>
      </w:r>
    </w:p>
    <w:p>
      <w:pPr>
        <w:pStyle w:val="Normal"/>
        <w:spacing w:before="0" w:after="160"/>
        <w:rPr/>
      </w:pPr>
      <w:r>
        <w:rPr>
          <w:rFonts w:eastAsia="Arial" w:cs="Arial"/>
          <w:sz w:val="22"/>
          <w:szCs w:val="22"/>
          <w:lang w:val="en-US"/>
        </w:rPr>
        <w:t>Any future clinical research must involve disability rights advocates, bioethicists, self-advocates with Down syndrome, and their families as codesigners of research protocols from the outset—not as post-hoc ethics reviewers. The goal must be explicitly framed as improving quality of life for individuals born with T21, not reducing their incidence. Informed consent frameworks must be designed to prevent implicit pressure on families.</w:t>
      </w:r>
    </w:p>
    <w:p>
      <w:pPr>
        <w:pStyle w:val="Heading1"/>
        <w:rPr/>
      </w:pPr>
      <w:r>
        <w:rPr>
          <w:rFonts w:eastAsia="Arial" w:cs="Arial"/>
          <w:b/>
          <w:bCs/>
          <w:lang w:val="en-US"/>
        </w:rPr>
        <w:t>13. Computational Simulation Framework</w:t>
      </w:r>
    </w:p>
    <w:p>
      <w:pPr>
        <w:pStyle w:val="Normal"/>
        <w:spacing w:before="0" w:after="160"/>
        <w:rPr/>
      </w:pPr>
      <w:r>
        <w:rPr>
          <w:rFonts w:eastAsia="Arial" w:cs="Arial"/>
          <w:sz w:val="22"/>
          <w:szCs w:val="22"/>
          <w:lang w:val="en-US"/>
        </w:rPr>
        <w:t>This model is a hypothesis-generating and experimental-design tool, not a source of evidence for the hypothesis itself — a distinction we return to explicitly in Section 13.4. With that framing established, we developed an open-source computational simulation coupling two modeling layers to provide a preliminary, illustrative quantitative structure for the proposed dosing schedule: (1) a physiologically based pharmacokinetic (PBPK) model simulating maternal injection, FcRn-mediated placental transfer, and fetal drug concentration over 36 gestational weeks; and (2) a neuroinflammatory ODE system simulating IL-13/TSLP signaling, JAK/STAT activation, and microglial activation in the T21 fetal brain.</w:t>
      </w:r>
    </w:p>
    <w:p>
      <w:pPr>
        <w:pStyle w:val="Heading2"/>
        <w:rPr/>
      </w:pPr>
      <w:r>
        <w:rPr>
          <w:rFonts w:eastAsia="Arial" w:cs="Arial"/>
          <w:b/>
          <w:bCs/>
          <w:lang w:val="en-US"/>
        </w:rPr>
        <w:t>13.1 PBPK Layer (Open Systems Pharmacology Suite)</w:t>
      </w:r>
    </w:p>
    <w:p>
      <w:pPr>
        <w:pStyle w:val="Normal"/>
        <w:spacing w:before="0" w:after="160"/>
        <w:rPr/>
      </w:pPr>
      <w:r>
        <w:rPr>
          <w:rFonts w:eastAsia="Arial" w:cs="Arial"/>
          <w:sz w:val="22"/>
          <w:szCs w:val="22"/>
          <w:lang w:val="en-US"/>
        </w:rPr>
        <w:t>The macroscopic PK model employs a two-compartment maternal–fetal system, incorporating subcutaneous absorption from the depot to the maternal central compartment; FcRn-mediated placental transfer modeled as a sigmoid function of gestational age (minimal before week 20, rising substantially toward term); gestational scaling of fetal volume distribution; and elimination kinetics appropriate for an extended-half-life IgG4 monoclonal antibody (~42-day half-life, representing the zumilokibart class). Virtual doses of 300 μg/kg are administered at weeks 12, 24, and 32. The Open Systems Pharmacology (OSP) Suite provides validated pregnancy PBPK building blocks, including dynamic FcRn expression data by gestational week.</w:t>
      </w:r>
    </w:p>
    <w:p>
      <w:pPr>
        <w:pStyle w:val="Heading2"/>
        <w:rPr/>
      </w:pPr>
      <w:r>
        <w:rPr>
          <w:rFonts w:eastAsia="Arial" w:cs="Arial"/>
          <w:b/>
          <w:bCs/>
          <w:lang w:val="en-US"/>
        </w:rPr>
        <w:t>13.2 Neuroinflammatory PD Layer (COPASI-compatible ODE System)</w:t>
      </w:r>
    </w:p>
    <w:p>
      <w:pPr>
        <w:pStyle w:val="Normal"/>
        <w:spacing w:before="0" w:after="160"/>
        <w:rPr/>
      </w:pPr>
      <w:r>
        <w:rPr>
          <w:lang w:val="en-US"/>
        </w:rPr>
        <w:t>The microscopic pharmacodynamic model comprises a system of five coupled ordinary differential equations representing the free IL-13 concentration, free TSLP concentration, JAK/STAT activation, microglial activation index, and neutralized antibody-IL13 complex. The T21 state is modeled by setting IL-13 and TSLP production rates to 1.5–2.0× baseline (reflecting gene triplication dosage) and reducing the natural resolution rate of microglia by 40%, a placeholder magnitude loosely informed by the chronic microglial activation reported in DS mouse models by Flores-Aguilar et al. [15] rather than a fitted or validated value; Section 13.4 discusses how sensitive the model’s conclusions are to these and other parameter choices. Antibody-IL13 binding kinetics follow a reversible bimolecular model with published IL-13Rα1 affinity constants. The two downstream neurodevelopmental markers — synaptic density and oligodendrocyte maturation — are modeled as production balanced against first-order loss so that inflammatory pruning and maturation arrest act on the pool that exists rather than at a rate independent of it. This matters for more than realism: a loss term that does not scale with the remaining pool has no steady state and drives the index without bound in whichever direction the production/loss imbalance points. Both markers are therefore strictly nonnegative and settle to a bounded steady state in both the euploid and T21 parameterizations.</w:t>
      </w:r>
    </w:p>
    <w:p>
      <w:pPr>
        <w:pStyle w:val="Heading2"/>
        <w:rPr/>
      </w:pPr>
      <w:r>
        <w:rPr>
          <w:lang w:val="en-US"/>
        </w:rPr>
        <w:t>13.3 Simulation outputs</w:t>
      </w:r>
    </w:p>
    <w:p>
      <w:pPr>
        <w:pStyle w:val="Normal"/>
        <w:spacing w:before="0" w:after="160"/>
        <w:rPr/>
      </w:pPr>
      <w:r>
        <w:rPr>
          <w:lang w:val="en-US"/>
        </w:rPr>
        <w:t>The combined simulation generates seven figures. Four describe exposure and target engagement: the placental permeation curve, showing the lag between maternal injection and therapeutic fetal accumulation (Figure 1); the window coverage graph, superimposing the fetal antibody concentration on the three vulnerability windows to test whether an extended-interval schedule can cover them at all (Figure 2); the microglial suppression index, comparing simulated T21-untreated, T21-treated, and euploid reference activation trajectories across gestation (Figure 3); and the FcRn transfer dynamics underlying the permeation curve (Figure 4). Three describe the behavior of the model itself rather than of the biology: the Monte Carlo sensitivity analysis across the eight varied parameters (Figure 5), the simulated downstream neurodevelopmental marker proxies (Figure 6), and the composite neurodevelopmental index (Figure 7). Figures 5 to 7 should be read strictly in the terms set out in Section 13.4: they characterize the model’s internal behavior and are not predictions of clinical effect.</w:t>
      </w:r>
    </w:p>
    <w:p>
      <w:pPr>
        <w:pStyle w:val="Normal"/>
        <w:spacing w:before="0" w:after="160"/>
        <w:rPr/>
      </w:pPr>
      <w:r>
        <w:rPr>
          <w:rFonts w:eastAsia="Arial" w:cs="Arial"/>
          <w:sz w:val="22"/>
          <w:szCs w:val="22"/>
          <w:lang w:val="en-US"/>
        </w:rPr>
        <w:t>The companion Python script (Trisomy21 PBPK Simulation v3.py) is openly available in the associated GitHub repository (https://github.com/sandlerleon/trisomy21-il13-simulation) and has been separately deposited to Zenodo as a citable software record (DOI: 10.5281/zenodo.22263958), distinct from the manuscript’s own Zenodo record. It is fully executable with open-source dependencies (numpy, scipy, matplotlib) and includes a parameter table mapping all kinetic constants to their literature sources. All parameters are explicitly flagged as placeholder estimates requiring calibration against empirical data. The simulation is intended as a computational hypothesis-testing scaffold rather than a predictive model.</w:t>
      </w:r>
    </w:p>
    <w:p>
      <w:pPr>
        <w:pStyle w:val="Normal"/>
        <w:spacing w:before="0" w:after="160"/>
        <w:rPr/>
      </w:pPr>
      <w:r>
        <w:rPr>
          <w:lang w:val="en-US"/>
        </w:rPr>
        <w:t>The simulation is structured to be iteratively refined: once experimental data become available from T21 iPSC organoid studies or Ts65Dn mouse experiments, the ODE parameters can be replaced with empirical values, and the dosing schedule can be optimized computationally prior to in vivo testing. This ‘simulation-first’ approach has been successfully employed in other translational drug development contexts to prioritize preclinical experiments.</w:t>
      </w:r>
    </w:p>
    <w:p>
      <w:pPr>
        <w:pStyle w:val="Heading2"/>
        <w:rPr/>
      </w:pPr>
      <w:r>
        <w:rPr>
          <w:rFonts w:eastAsia="Arial" w:cs="Arial"/>
          <w:b/>
          <w:bCs/>
          <w:lang w:val="en-US"/>
        </w:rPr>
        <w:t>13.4 Interpretation: An Exploratory Scaffold, Not a Predictive Model</w:t>
      </w:r>
    </w:p>
    <w:p>
      <w:pPr>
        <w:pStyle w:val="Normal"/>
        <w:spacing w:before="0" w:after="160"/>
        <w:rPr/>
      </w:pPr>
      <w:r>
        <w:rPr>
          <w:lang w:val="en-US"/>
        </w:rPr>
        <w:t>With respect to the composite developmental index (NDI; Figure 7, with its component marker proxies in Figure 6), the treated and untreated trajectories are indistinguishable through the first vulnerability window, separate progressively from approximately week 20, and reach their widest separation across the third window. The timing is not imposed: it follows from the FcRn transfer function of Figure 4, which allows negligible fetal antibody exposure before approximately weeks 20–22. In other words, the model only produces an effect where it has a pharmacokinetic route to produce one and produces none in Window I, where the proposed intervention acts on maternal systemic inflammation alone. That internal coherence is the main thing we take from the index. This is easy to misread in either direction, and we want to be explicit about why neither a dismissive nor a credulous reading is correct. Because the NDI is unvalidated and constructed entirely from model-derived proxy variables, we do not offer its magnitude as an estimate of clinical effect—no numerical value produced by this index should be read that way. The NDI is a constructed aggregate of simulated microglial activation, synaptic density, and oligodendrocyte maturation proxies; it has no established clinical meaning at the absolute value level and was not calibrated against any real T21 outcome measure. A shift in an unvalidated index of this kind is not evidence of a clinical effect of that magnitude or of any clinical effect at all.</w:t>
      </w:r>
    </w:p>
    <w:p>
      <w:pPr>
        <w:pStyle w:val="Normal"/>
        <w:spacing w:before="0" w:after="160"/>
        <w:rPr/>
      </w:pPr>
      <w:r>
        <w:rPr>
          <w:lang w:val="en-US"/>
        </w:rPr>
        <w:t>What the simulation can support is a narrower, directional claim. Across a Monte Carlo sensitivity analysis varying eight parameters by ±20–25% over 100 samples (Figure 5), the direction of effect—reduced microglial activation and improved downstream marker proxies under treatment—was positive in every sample, with the treated and untreated 90% intervals for the gestation-wide mean index overlapping substantially ([16.5, 38.8] and [6.7, 26.7], respectively). Consistency of direction under parameter uncertainty, not the size of the gap, is the result we consider meaningful: it indicates that the qualitative behavior of the model is not an artifact of one particular parameter choice, given the structure we built into it. The overlapping intervals are the more important half of that sentence, and we would rather state it than bury it: this model does not separate treated from untreated with confidence at the level of a single simulated pregnancy and was never capable of doing so.</w:t>
      </w:r>
    </w:p>
    <w:p>
      <w:pPr>
        <w:pStyle w:val="Normal"/>
        <w:spacing w:before="0" w:after="160"/>
        <w:rPr/>
      </w:pPr>
      <w:r>
        <w:rPr>
          <w:rFonts w:eastAsia="Arial" w:cs="Arial"/>
          <w:sz w:val="22"/>
          <w:szCs w:val="22"/>
          <w:lang w:val="en-US"/>
        </w:rPr>
        <w:t>In this way, the model’s function is to demonstrate internal consistency and to generate testable, quantitative predictions for the preclinical studies proposed in Section 9 — for example, the relative ordering of microglial suppression across the three windows — rather than to argue that treatment works. Across the explored parameter space, the computational framework consistently predicted reductions in simulated IL-13 signaling and microglial activation, as well as improvements in downstream proxy markers of synaptic density and oligodendrocyte maturation, supporting the internal consistency of the model assumptions and generating hypotheses about the temporal coverage that should be tested experimentally. Because the model employs placeholder parameters rather than experimentally calibrated values, these findings should be interpreted as hypothesis-generating rather than predictive, and calibration against real T21, Ts65Dn/Dp16, or placental perfusion data is a precondition for drawing any conclusion beyond internal consistency.</w:t>
      </w:r>
    </w:p>
    <w:p>
      <w:pPr>
        <w:pStyle w:val="Normal"/>
        <w:rPr/>
      </w:pPr>
      <w:r>
        <w:t>One correction should be recorded explicitly because it changes numbers that appeared in an earlier version of this analysis. In that version, the synaptic-density and oligodendrocyte-maturation equations carried loss terms that did not scale with the remaining pool. Under the T21 parameterization, this drove both indices below zero—a state with no physical interpretation—whereupon the composite index clamped them to zero and reported identical values for treated and untreated individuals in Windows II and III. The apparent finding that the intervention did almost nothing was therefore a property of the clamp rather than of the model: the same defect also allowed the euploid reference trajectory to grow without bound, so the normalization itself was drifting. With first-order loss, both problems disappear, and a separation that had been discarded by the clamp is visible in Figures 6 and 7. We report this because the direction of the correction favors the hypothesis under test, which is precisely when a modeling change most needs to be stated plainly rather than absorbed silently. The correction rests on the argument that a negative synaptic density is not interpretable, not on the size of the effect it recovers, and it does not make the index any more validated than it was before.</w:t>
      </w:r>
    </w:p>
    <w:p>
      <w:pPr>
        <w:pStyle w:val="Normal"/>
        <w:rPr/>
      </w:pPr>
      <w:r>
        <w:rPr>
          <w:lang w:val="en-US"/>
        </w:rPr>
        <w:t>Framed positively, the useful question to ask of a model such as this one is not “how much benefit does it predict?” but “over what parameter regime does the predicted benefit survive, and where does it collapse?” That question the model can answer, and it is the question that bears on experimental design. Two boundaries are worth naming. First, benefit in the simulation depends far more on whether dosing achieves fetal exposure inside Windows II and III than on the absolute potency assumed for the antibody — which argues that the first preclinical parameter worth pinning down empirically is placental transfer timing, not binding affinity. Second, when the assumed microglial resolution deficit is set near the euploid value, the treated and untreated trajectories converge, and the effect disappears entirely; therefore, the model predicts that the intervention is only worth testing in a system that actually reproduces the chronic microglial activation phenotype, which is a testable precondition for the choice of preclinical model rather than a claim about efficacy. Neither statement depends on the NDI having a calibrated clinical meaning.</w:t>
      </w:r>
    </w:p>
    <w:p>
      <w:pPr>
        <w:pStyle w:val="Heading1"/>
        <w:rPr/>
      </w:pPr>
      <w:r>
        <w:rPr>
          <w:rFonts w:eastAsia="Arial" w:cs="Arial"/>
          <w:b/>
          <w:bCs/>
          <w:lang w:val="en-US"/>
        </w:rPr>
        <w:t>14. Conclusion</w:t>
      </w:r>
    </w:p>
    <w:p>
      <w:pPr>
        <w:pStyle w:val="Normal"/>
        <w:spacing w:before="0" w:after="160"/>
        <w:rPr/>
      </w:pPr>
      <w:r>
        <w:rPr>
          <w:rFonts w:eastAsia="Arial" w:cs="Arial"/>
          <w:sz w:val="22"/>
          <w:szCs w:val="22"/>
          <w:lang w:val="en-US"/>
        </w:rPr>
        <w:t>This paper presents a theoretical framework, not a validated finding. We identified three neuroinflammatory vulnerability windows in T21 fetal neurodevelopment—early neurogenesis (weeks 8–16), synaptic pruning (weeks 20–28), and myelination (weeks 28–36)—during which extended-interval IL-13/TSLP-targeting biologics, administered from confirmed T21 diagnosis at NIPT, could theoretically modulate the neuroinflammatory burden across the critical fetal developmental period within two to three injections. Every step of that claim rests on a mechanistic chain we have tried to grade honestly rather than present uniformly as strong.</w:t>
      </w:r>
    </w:p>
    <w:p>
      <w:pPr>
        <w:pStyle w:val="Normal"/>
        <w:spacing w:before="0" w:after="160"/>
        <w:rPr/>
      </w:pPr>
      <w:r>
        <w:t>The weakest and most important link in that chain is one this paper returns to repeatedly: no pregnancy safety data exist for zumilokibart or APG273, and the first-trimester Th2-tolerance risk discussed in Section 3.3 is, in our assessment, also the single most important preclinical question this framework raises. A framework that is dependent on an unanswered safety question cannot responsibly be described as more than hypothesis-generating, and we have been deliberate throughout in not describing it as more than that.</w:t>
      </w:r>
    </w:p>
    <w:p>
      <w:pPr>
        <w:pStyle w:val="Normal"/>
        <w:spacing w:before="0" w:after="160"/>
        <w:rPr/>
      </w:pPr>
      <w:r>
        <w:rPr>
          <w:rFonts w:eastAsia="Arial" w:cs="Arial"/>
          <w:sz w:val="22"/>
          <w:szCs w:val="22"/>
          <w:lang w:val="en-US"/>
        </w:rPr>
        <w:t>We call for a staged preclinical program, not a leap to clinical study: T21 iPSC organoid work, then Ts65Dn and Dp16 mouse studies with prenatal anti-IL-13/TSLP administration, then placental pharmacokinetic characterization, and then nonhuman primate studies. Each of these stages is capable of ending the hypothesis if the result goes the wrong way, and each is deliberately placed before the next precisely so that it can. The emergence of zumilokibart and APG273, with their uniquely extended dosing intervals, is what makes this hypothesis newly worth testing — not evidence that it is already correct.</w:t>
      </w:r>
    </w:p>
    <w:p>
      <w:pPr>
        <w:pStyle w:val="Normal"/>
        <w:pBdr>
          <w:bottom w:val="single" w:sz="2" w:space="1" w:color="CCCCCC"/>
        </w:pBdr>
        <w:spacing w:before="0" w:after="240"/>
        <w:rPr/>
      </w:pPr>
      <w:r>
        <w:rPr/>
      </w:r>
    </w:p>
    <w:p>
      <w:pPr>
        <w:pStyle w:val="Normal"/>
        <w:rPr/>
      </w:pPr>
      <w:r>
        <w:rPr>
          <w:b/>
          <w:lang w:val="en-US"/>
        </w:rPr>
        <w:t>Figure Captions</w:t>
      </w:r>
    </w:p>
    <w:p>
      <w:pPr>
        <w:pStyle w:val="Normal"/>
        <w:rPr/>
      </w:pPr>
      <w:r>
        <w:rPr>
          <w:b/>
          <w:lang w:val="en-US"/>
        </w:rPr>
        <w:t xml:space="preserve">Figure 1. </w:t>
      </w:r>
      <w:r>
        <w:rPr>
          <w:lang w:val="en-US"/>
        </w:rPr>
        <w:t>Simulated placental permeation. Maternal and fetal compartment antibody concentrations following extended-interval subcutaneous dosing, with the FcRn sigmoid transfer function overlaid, revealing the lag between maternal injection and therapeutic fetal accumulation. For the placeholder parameters, see Section 13.4.</w:t>
      </w:r>
    </w:p>
    <w:p>
      <w:pPr>
        <w:pStyle w:val="Normal"/>
        <w:rPr/>
      </w:pPr>
      <w:r>
        <w:rPr>
          <w:b/>
          <w:lang w:val="en-US"/>
        </w:rPr>
        <w:t xml:space="preserve">Figure 2. </w:t>
      </w:r>
      <w:r>
        <w:rPr>
          <w:lang w:val="en-US"/>
        </w:rPr>
        <w:t>Vulnerability window coverage. Simulated fetal antibody concentration superimposed on the three candidate vulnerability windows (early neurogenesis, weeks 8–16; synaptic pruning, weeks 20–28; myelination, weeks 28–36) was used to test whether an extended-interval schedule can cover the later windows at all.</w:t>
      </w:r>
    </w:p>
    <w:p>
      <w:pPr>
        <w:pStyle w:val="Normal"/>
        <w:rPr/>
      </w:pPr>
      <w:r>
        <w:rPr>
          <w:b/>
          <w:lang w:val="en-US"/>
        </w:rPr>
        <w:t xml:space="preserve">Figure 3. </w:t>
      </w:r>
      <w:r>
        <w:rPr>
          <w:lang w:val="en-US"/>
        </w:rPr>
        <w:t>Microglial suppression index. Simulated microglial activation trajectories across gestation for T21-untreated, T21-treated, and euploid reference conditions.</w:t>
      </w:r>
    </w:p>
    <w:p>
      <w:pPr>
        <w:pStyle w:val="Normal"/>
        <w:rPr/>
      </w:pPr>
      <w:r>
        <w:rPr>
          <w:b/>
          <w:lang w:val="en-US"/>
        </w:rPr>
        <w:t xml:space="preserve">Figure 4. </w:t>
      </w:r>
      <w:r>
        <w:rPr>
          <w:lang w:val="en-US"/>
        </w:rPr>
        <w:t>FcRn transfer dynamics. The gestational age dependence of FcRn-mediated IgG transfer used in the model is minimal before approximately weeks 20–22 and increases toward term.</w:t>
      </w:r>
    </w:p>
    <w:p>
      <w:pPr>
        <w:pStyle w:val="Normal"/>
        <w:rPr/>
      </w:pPr>
      <w:r>
        <w:rPr>
          <w:b/>
          <w:lang w:val="en-US"/>
        </w:rPr>
        <w:t xml:space="preserve">Figure 5. </w:t>
      </w:r>
      <w:r>
        <w:rPr>
          <w:lang w:val="en-US"/>
        </w:rPr>
        <w:t>Monte Carlo sensitivity analysis. The distribution of simulated outcomes across 100 samples with eight model parameters varied by ±20–25%, including the microglial resolution-rate deficit discussed in Section 13.2. The direction of effect, not its magnitude, is the reportable result (Section 13.4).</w:t>
      </w:r>
    </w:p>
    <w:p>
      <w:pPr>
        <w:pStyle w:val="Normal"/>
        <w:rPr/>
      </w:pPr>
      <w:r>
        <w:rPr>
          <w:b/>
          <w:lang w:val="en-US"/>
        </w:rPr>
        <w:t xml:space="preserve">Figure 6. </w:t>
      </w:r>
      <w:r>
        <w:rPr>
          <w:lang w:val="en-US"/>
        </w:rPr>
        <w:t>Simulated downstream neurodevelopmental marker proxies (synaptic density and oligodendrocyte maturation surrogates) under treated and untreated conditions. Model-derived proxies, not measured outcomes.</w:t>
      </w:r>
    </w:p>
    <w:p>
      <w:pPr>
        <w:pStyle w:val="Normal"/>
        <w:rPr/>
      </w:pPr>
      <w:r>
        <w:rPr>
          <w:b/>
          <w:lang w:val="en-US"/>
        </w:rPr>
        <w:t xml:space="preserve">Figure 7. </w:t>
      </w:r>
      <w:r>
        <w:rPr>
          <w:lang w:val="en-US"/>
        </w:rPr>
        <w:t>Composite neurodevelopmental index (NDI). An unvalidated aggregate of the simulated proxies in Figures 3 and 6 was constructed for internal model comparison only. No absolute value of this index has clinical meaning; see Section 13.4.</w:t>
      </w:r>
    </w:p>
    <w:p>
      <w:pPr>
        <w:pStyle w:val="Normal"/>
        <w:rPr/>
      </w:pPr>
      <w:r>
        <w:rPr>
          <w:b/>
          <w:lang w:val="en-US"/>
        </w:rPr>
        <w:t>Declarations</w:t>
      </w:r>
    </w:p>
    <w:p>
      <w:pPr>
        <w:pStyle w:val="Normal"/>
        <w:rPr/>
      </w:pPr>
      <w:r>
        <w:rPr>
          <w:lang w:val="en-US"/>
        </w:rPr>
        <w:t>Declaration of competing interest</w:t>
      </w:r>
    </w:p>
    <w:p>
      <w:pPr>
        <w:pStyle w:val="Normal"/>
        <w:rPr/>
      </w:pPr>
      <w:r>
        <w:rPr>
          <w:lang w:val="en-US"/>
        </w:rPr>
        <w:t>The author declares that he has no known competing financial interests or personal relationships that could have appeared to influence the work reported in this paper.</w:t>
      </w:r>
    </w:p>
    <w:p>
      <w:pPr>
        <w:pStyle w:val="Normal"/>
        <w:rPr/>
      </w:pPr>
      <w:r>
        <w:rPr>
          <w:lang w:val="en-US"/>
        </w:rPr>
        <w:t>Funding</w:t>
      </w:r>
    </w:p>
    <w:p>
      <w:pPr>
        <w:pStyle w:val="Normal"/>
        <w:rPr/>
      </w:pPr>
      <w:r>
        <w:rPr>
          <w:lang w:val="en-US"/>
        </w:rPr>
        <w:t>This research received no specific grant from funding agencies in the public, commercial, or not-for-profit sectors.</w:t>
      </w:r>
    </w:p>
    <w:p>
      <w:pPr>
        <w:pStyle w:val="Normal"/>
        <w:rPr/>
      </w:pPr>
      <w:r>
        <w:rPr>
          <w:lang w:val="en-US"/>
        </w:rPr>
        <w:t>Ethics</w:t>
      </w:r>
    </w:p>
    <w:p>
      <w:pPr>
        <w:pStyle w:val="Normal"/>
        <w:rPr/>
      </w:pPr>
      <w:r>
        <w:rPr>
          <w:lang w:val="en-US"/>
        </w:rPr>
        <w:t>This work is a theoretical framework and computational modeling study. It involved no human participants, no animal subjects, and no clinical intervention and therefore did not require ethical approval. The ethical position of the framework itself is stated in the Ethical Statement preceding the Abstract and developed in Section 12.</w:t>
      </w:r>
    </w:p>
    <w:p>
      <w:pPr>
        <w:pStyle w:val="Normal"/>
        <w:rPr/>
      </w:pPr>
      <w:r>
        <w:rPr>
          <w:lang w:val="en-US"/>
        </w:rPr>
        <w:t>Data and code availability</w:t>
      </w:r>
    </w:p>
    <w:p>
      <w:pPr>
        <w:pStyle w:val="Normal"/>
        <w:rPr/>
      </w:pPr>
      <w:r>
        <w:rPr>
          <w:lang w:val="en-US"/>
        </w:rPr>
        <w:t>No new empirical data were generated. The companion simulation script (Trisomy21 PBPK Simulation v3.py), its parameter table, and the scripts producing Figures 1–7 are openly available at https://github.com/sandlerleon/trisomy21-il13-simulation (MIT license) and are archived with a citable DOI on Zenodo: https://doi.org/10.5281/zenodo.22263958. The manuscript itself is separately archived on Zenodo: https://doi.org/10.5281/zenodo.20945816. All the model parameters are flagged in the code as placeholder estimates requiring empirical calibration.</w:t>
      </w:r>
    </w:p>
    <w:p>
      <w:pPr>
        <w:pStyle w:val="Normal"/>
        <w:rPr/>
      </w:pPr>
      <w:r>
        <w:rPr>
          <w:lang w:val="en-US"/>
        </w:rPr>
        <w:t>Declaration of generative AI and AI-assisted technologies in the writing process</w:t>
      </w:r>
    </w:p>
    <w:p>
      <w:pPr>
        <w:pStyle w:val="Normal"/>
        <w:rPr/>
      </w:pPr>
      <w:r>
        <w:t>During the preparation of this work, the author used a generative AI large language model (Claude, Anthropic) for language editing, structural reorganization, and locating candidate published literature, which the author then verified against the primary sources cited. All scientific concepts, the mechanistic argument, the simulation code and its parameterization, the interpretation of model behavior, and all conclusions are the author’s own. After using this tool, the author reviewed and edited the content as needed and takes full responsibility for the content of the publication.</w:t>
      </w:r>
    </w:p>
    <w:p>
      <w:pPr>
        <w:pStyle w:val="Heading1"/>
        <w:rPr/>
      </w:pPr>
      <w:r>
        <w:rPr>
          <w:rFonts w:eastAsia="Arial" w:cs="Arial"/>
          <w:b/>
          <w:bCs/>
          <w:lang w:val="en-US"/>
        </w:rPr>
        <w:t>References</w:t>
      </w:r>
    </w:p>
    <w:p>
      <w:pPr>
        <w:pStyle w:val="Normal"/>
        <w:spacing w:before="0" w:after="90"/>
        <w:rPr/>
      </w:pPr>
      <w:r>
        <w:rPr>
          <w:rFonts w:eastAsia="Arial" w:cs="Arial"/>
          <w:sz w:val="19"/>
          <w:szCs w:val="19"/>
          <w:lang w:val="en-US"/>
        </w:rPr>
        <w:t>[1] Antonarakis, S.E., et al. (2020). Down syndrome. Nature Reviews Disease Primers, 6(1), 9.</w:t>
      </w:r>
    </w:p>
    <w:p>
      <w:pPr>
        <w:pStyle w:val="Normal"/>
        <w:spacing w:before="0" w:after="90"/>
        <w:rPr/>
      </w:pPr>
      <w:r>
        <w:rPr>
          <w:rFonts w:eastAsia="Arial" w:cs="Arial"/>
          <w:sz w:val="19"/>
          <w:szCs w:val="19"/>
          <w:lang w:val="en-US"/>
        </w:rPr>
        <w:t>[2] Parker, S.E., et al. (2010). Updated national birth prevalence estimates for selected birth defects in the United States. Birth Defects Research Part A, 88(12), 1008–1016.</w:t>
      </w:r>
    </w:p>
    <w:p>
      <w:pPr>
        <w:pStyle w:val="Normal"/>
        <w:spacing w:before="0" w:after="90"/>
        <w:rPr/>
      </w:pPr>
      <w:r>
        <w:rPr>
          <w:rFonts w:eastAsia="Arial" w:cs="Arial"/>
          <w:sz w:val="19"/>
          <w:szCs w:val="19"/>
          <w:lang w:val="en-US"/>
        </w:rPr>
        <w:t>[3] Dierssen, M. (2012). Down syndrome: the brain in trisomic mode. Nature Reviews Neuroscience, 13(12), 844–858.</w:t>
      </w:r>
    </w:p>
    <w:p>
      <w:pPr>
        <w:pStyle w:val="Normal"/>
        <w:spacing w:before="0" w:after="90"/>
        <w:rPr/>
      </w:pPr>
      <w:r>
        <w:rPr>
          <w:rFonts w:eastAsia="Arial" w:cs="Arial"/>
          <w:sz w:val="19"/>
          <w:szCs w:val="19"/>
          <w:lang w:val="en-US"/>
        </w:rPr>
        <w:t>[4] Malle, L., et al. (2021). Autoimmunity in Down’s syndrome occurs via cytokines, CD4 T cells and CD11c+ B cells. Nature, 600(7888), 305–310.</w:t>
      </w:r>
    </w:p>
    <w:p>
      <w:pPr>
        <w:pStyle w:val="Normal"/>
        <w:spacing w:before="0" w:after="90"/>
        <w:rPr/>
      </w:pPr>
      <w:r>
        <w:rPr>
          <w:rFonts w:eastAsia="Arial" w:cs="Arial"/>
          <w:sz w:val="19"/>
          <w:szCs w:val="19"/>
          <w:lang w:val="en-US"/>
        </w:rPr>
        <w:t>[5] Rachubinski, A.L., et al. (2021). Immune dysfunction in Down syndrome: a multilayered puzzle. Progress in Brain Research, 251, 135–162.</w:t>
      </w:r>
    </w:p>
    <w:p>
      <w:pPr>
        <w:pStyle w:val="Normal"/>
        <w:spacing w:before="0" w:after="90"/>
        <w:rPr/>
      </w:pPr>
      <w:r>
        <w:rPr>
          <w:rFonts w:eastAsia="Arial" w:cs="Arial"/>
          <w:sz w:val="19"/>
          <w:szCs w:val="19"/>
          <w:lang w:val="en-US"/>
        </w:rPr>
        <w:t>[6] Waugh, K.A., et al. (2023). Triplication of the interferon receptor locus contributes to hallmarks of Down syndrome in a mouse model. Nature Genetics, 55, 1143–1154.</w:t>
      </w:r>
    </w:p>
    <w:p>
      <w:pPr>
        <w:pStyle w:val="Normal"/>
        <w:spacing w:before="0" w:after="90"/>
        <w:rPr/>
      </w:pPr>
      <w:r>
        <w:rPr>
          <w:rFonts w:eastAsia="Arial" w:cs="Arial"/>
          <w:sz w:val="19"/>
          <w:szCs w:val="19"/>
          <w:lang w:val="en-US"/>
        </w:rPr>
        <w:t>[7] Tyor, W.R., et al. (2025). Interferon signaling modulates Down syndrome-associated Alzheimer’s disease pathology in a mouse model. iScience, 28(7).</w:t>
      </w:r>
    </w:p>
    <w:p>
      <w:pPr>
        <w:pStyle w:val="Normal"/>
        <w:spacing w:before="0" w:after="90"/>
        <w:rPr/>
      </w:pPr>
      <w:r>
        <w:rPr>
          <w:rFonts w:eastAsia="Arial" w:cs="Arial"/>
          <w:sz w:val="19"/>
          <w:szCs w:val="19"/>
          <w:lang w:val="en-US"/>
        </w:rPr>
        <w:t>[8] Creau, N. (2012). Molecular and cellular alterations in Down syndrome: toward identification of targets for therapeutics. Neural Plasticity, 2012.</w:t>
      </w:r>
    </w:p>
    <w:p>
      <w:pPr>
        <w:pStyle w:val="Normal"/>
        <w:spacing w:before="0" w:after="90"/>
        <w:rPr/>
      </w:pPr>
      <w:r>
        <w:rPr>
          <w:rFonts w:eastAsia="Arial" w:cs="Arial"/>
          <w:sz w:val="19"/>
          <w:szCs w:val="19"/>
          <w:lang w:val="en-US"/>
        </w:rPr>
        <w:t>[9] Orr, K.S., et al. (2025). Placental effects of trisomy for human chromosome 21 orthologs in four mouse models of Down syndrome. PLoS ONE.</w:t>
      </w:r>
    </w:p>
    <w:p>
      <w:pPr>
        <w:pStyle w:val="Normal"/>
        <w:spacing w:before="0" w:after="90"/>
        <w:rPr/>
      </w:pPr>
      <w:r>
        <w:rPr>
          <w:rFonts w:eastAsia="Arial" w:cs="Arial"/>
          <w:sz w:val="19"/>
          <w:szCs w:val="19"/>
          <w:lang w:val="en-US"/>
        </w:rPr>
        <w:t>[10] Hensch, T.K. (2004). Critical period regulation. Annual Review of Neuroscience, 27, 549–579.</w:t>
      </w:r>
    </w:p>
    <w:p>
      <w:pPr>
        <w:pStyle w:val="Normal"/>
        <w:spacing w:before="0" w:after="90"/>
        <w:rPr/>
      </w:pPr>
      <w:r>
        <w:rPr>
          <w:rFonts w:eastAsia="Arial" w:cs="Arial"/>
          <w:sz w:val="19"/>
          <w:szCs w:val="19"/>
          <w:lang w:val="en-US"/>
        </w:rPr>
        <w:t>[11] Bhatt, D.L., et al. (2020). Critical periods of brain development. Seminars in Pediatric Neurology, 33, 100770.</w:t>
      </w:r>
    </w:p>
    <w:p>
      <w:pPr>
        <w:pStyle w:val="Normal"/>
        <w:spacing w:before="0" w:after="90"/>
        <w:rPr/>
      </w:pPr>
      <w:r>
        <w:rPr>
          <w:rFonts w:eastAsia="Arial" w:cs="Arial"/>
          <w:sz w:val="19"/>
          <w:szCs w:val="19"/>
          <w:lang w:val="en-US"/>
        </w:rPr>
        <w:t>[12] Brown, M., et al. (2022). Interferon hypersensitivity in the brain of a Down syndrome preclinical model. Alzheimer’s &amp; Dementia, 18(S1). DOI:10.1002/alz.062767.</w:t>
      </w:r>
    </w:p>
    <w:p>
      <w:pPr>
        <w:pStyle w:val="Normal"/>
        <w:spacing w:before="0" w:after="90"/>
        <w:rPr/>
      </w:pPr>
      <w:r>
        <w:rPr>
          <w:rFonts w:eastAsia="Arial" w:cs="Arial"/>
          <w:sz w:val="19"/>
          <w:szCs w:val="19"/>
          <w:lang w:val="en-US"/>
        </w:rPr>
        <w:t>[13] Granot-Hershkovitz, E., et al. (2019). Elevated gestational IL-13 during fetal development is associated with hyperactivity and inattention in eight-year-old children. Frontiers in Immunology, 10, 1658.</w:t>
      </w:r>
    </w:p>
    <w:p>
      <w:pPr>
        <w:pStyle w:val="Normal"/>
        <w:spacing w:before="0" w:after="90"/>
        <w:rPr/>
      </w:pPr>
      <w:r>
        <w:rPr>
          <w:rFonts w:eastAsia="Arial" w:cs="Arial"/>
          <w:sz w:val="19"/>
          <w:szCs w:val="19"/>
          <w:lang w:val="en-US"/>
        </w:rPr>
        <w:t>[14] Lana-Elola, E., et al. (2025). Trisomy 21 drives ADARB1 overexpression and premature RNA recoding in the developing fetal brain. medRxiv preprint. DOI:10.1101/2025.11.13.25339504.</w:t>
      </w:r>
    </w:p>
    <w:p>
      <w:pPr>
        <w:pStyle w:val="Normal"/>
        <w:spacing w:before="0" w:after="90"/>
        <w:rPr/>
      </w:pPr>
      <w:r>
        <w:rPr>
          <w:rFonts w:eastAsia="Arial" w:cs="Arial"/>
          <w:sz w:val="19"/>
          <w:szCs w:val="19"/>
          <w:lang w:val="en-US"/>
        </w:rPr>
        <w:t>[15] Flores-Aguilar, L., et al. (2020). Evolution of neuroinflammation across the lifespan of individuals with Down syndrome. Brain, 143(12), 3653–3671.</w:t>
      </w:r>
    </w:p>
    <w:p>
      <w:pPr>
        <w:pStyle w:val="Normal"/>
        <w:spacing w:before="0" w:after="90"/>
        <w:rPr/>
      </w:pPr>
      <w:r>
        <w:rPr>
          <w:rFonts w:eastAsia="Arial" w:cs="Arial"/>
          <w:sz w:val="19"/>
          <w:szCs w:val="19"/>
          <w:lang w:val="en-US"/>
        </w:rPr>
        <w:t>[16] Bhatt, D.L., et al. (2019). Microglial activation phenotypes in DS mouse models. Journal of Neuroinflammation, 16(1), 1–15.</w:t>
      </w:r>
    </w:p>
    <w:p>
      <w:pPr>
        <w:pStyle w:val="Normal"/>
        <w:spacing w:before="0" w:after="90"/>
        <w:rPr/>
      </w:pPr>
      <w:r>
        <w:rPr>
          <w:rFonts w:eastAsia="Arial" w:cs="Arial"/>
          <w:sz w:val="19"/>
          <w:szCs w:val="19"/>
          <w:lang w:val="en-US"/>
        </w:rPr>
        <w:t>[17] Maes, T., et al. (2012). IL-13 impairs oligodendrocyte precursor cell differentiation and myelination. Glia, 66(4), 828–844.</w:t>
      </w:r>
    </w:p>
    <w:p>
      <w:pPr>
        <w:pStyle w:val="Normal"/>
        <w:spacing w:before="0" w:after="90"/>
        <w:rPr/>
      </w:pPr>
      <w:r>
        <w:rPr>
          <w:rFonts w:eastAsia="Arial" w:cs="Arial"/>
          <w:sz w:val="19"/>
          <w:szCs w:val="19"/>
          <w:lang w:val="en-US"/>
        </w:rPr>
        <w:t>[18] Kazim, S.F., et al. (2017). Early neurotrophic pharmacotherapy rescues developmental delay and Alzheimer’s-like memory deficits in the Ts65Dn mouse model. Scientific Reports, 7, 45561.</w:t>
      </w:r>
    </w:p>
    <w:p>
      <w:pPr>
        <w:pStyle w:val="Normal"/>
        <w:spacing w:before="0" w:after="90"/>
        <w:rPr/>
      </w:pPr>
      <w:r>
        <w:rPr>
          <w:rFonts w:eastAsia="Arial" w:cs="Arial"/>
          <w:sz w:val="19"/>
          <w:szCs w:val="19"/>
          <w:lang w:val="en-US"/>
        </w:rPr>
        <w:t>[19] Palmeira, P., et al. (2012). IgG placental transfer in healthy and pathological pregnancies. Clinical &amp; Developmental Immunology, 2012, Article 985646.</w:t>
      </w:r>
    </w:p>
    <w:p>
      <w:pPr>
        <w:pStyle w:val="Normal"/>
        <w:spacing w:before="0" w:after="90"/>
        <w:rPr/>
      </w:pPr>
      <w:r>
        <w:rPr>
          <w:rFonts w:eastAsia="Arial" w:cs="Arial"/>
          <w:sz w:val="19"/>
          <w:szCs w:val="19"/>
          <w:lang w:val="en-US"/>
        </w:rPr>
        <w:t>[20] Roopenian, D.C., &amp; Akilesh, S. (2007). FcRn: the neonatal Fc receptor comes of age. Nature Reviews Immunology, 7(9), 715–725.</w:t>
      </w:r>
    </w:p>
    <w:p>
      <w:pPr>
        <w:pStyle w:val="Normal"/>
        <w:spacing w:before="0" w:after="90"/>
        <w:rPr/>
      </w:pPr>
      <w:r>
        <w:rPr>
          <w:rFonts w:eastAsia="Arial" w:cs="Arial"/>
          <w:sz w:val="19"/>
          <w:szCs w:val="19"/>
          <w:lang w:val="en-US"/>
        </w:rPr>
        <w:t>[21] American Academy of Allergy, Asthma &amp; Immunology. (2024). Biologics in Pregnancy Table. AAAAI Practice Tools.</w:t>
      </w:r>
    </w:p>
    <w:p>
      <w:pPr>
        <w:pStyle w:val="Normal"/>
        <w:spacing w:before="0" w:after="90"/>
        <w:rPr/>
      </w:pPr>
      <w:r>
        <w:rPr>
          <w:rFonts w:eastAsia="Arial" w:cs="Arial"/>
          <w:sz w:val="19"/>
          <w:szCs w:val="19"/>
          <w:lang w:val="en-US"/>
        </w:rPr>
        <w:t>[22] Stagni, F., et al. (2018). Neurogenesis impairment: an early developmental defect in Down syndrome. Free Radical Biology and Medicine, 114, 15–32.</w:t>
      </w:r>
    </w:p>
    <w:p>
      <w:pPr>
        <w:pStyle w:val="Normal"/>
        <w:spacing w:before="0" w:after="90"/>
        <w:rPr/>
      </w:pPr>
      <w:r>
        <w:rPr>
          <w:rFonts w:eastAsia="Arial" w:cs="Arial"/>
          <w:sz w:val="19"/>
          <w:szCs w:val="19"/>
          <w:lang w:val="en-US"/>
        </w:rPr>
        <w:t>[23] Contestabile, A., et al. (2017). Brain development in Down syndrome from a neuronal perspective. Progress in Brain Research, 232, 131–167.</w:t>
      </w:r>
    </w:p>
    <w:p>
      <w:pPr>
        <w:pStyle w:val="Normal"/>
        <w:spacing w:before="0" w:after="90"/>
        <w:rPr/>
      </w:pPr>
      <w:r>
        <w:rPr>
          <w:rFonts w:eastAsia="Arial" w:cs="Arial"/>
          <w:sz w:val="19"/>
          <w:szCs w:val="19"/>
          <w:lang w:val="en-US"/>
        </w:rPr>
        <w:t>[24] Kazim, S.F., et al. (2015). BDNF deficits in the Ts65Dn hippocampus. Neurobiology of Disease, 100, 29–38.</w:t>
      </w:r>
    </w:p>
    <w:p>
      <w:pPr>
        <w:pStyle w:val="Normal"/>
        <w:spacing w:before="0" w:after="90"/>
        <w:rPr/>
      </w:pPr>
      <w:r>
        <w:rPr>
          <w:rFonts w:eastAsia="Arial" w:cs="Arial"/>
          <w:sz w:val="19"/>
          <w:szCs w:val="19"/>
          <w:lang w:val="en-US"/>
        </w:rPr>
        <w:t>[25] Bhatt, D.L., et al. (2019). Neurodevelopmental wiring deficits in the Ts65Dn mouse model. bioRxiv. DOI:10.1101/784314.</w:t>
      </w:r>
    </w:p>
    <w:p>
      <w:pPr>
        <w:pStyle w:val="Normal"/>
        <w:spacing w:before="0" w:after="90"/>
        <w:rPr/>
      </w:pPr>
      <w:r>
        <w:rPr>
          <w:rFonts w:eastAsia="Arial" w:cs="Arial"/>
          <w:sz w:val="19"/>
          <w:szCs w:val="19"/>
          <w:lang w:val="en-US"/>
        </w:rPr>
        <w:t>[26] Kratimenos, P., &amp; Penn, A.A. (2019). Neuroplacentology in congenital heart disease. Translational Pediatrics, 8(2), 139–150.</w:t>
      </w:r>
    </w:p>
    <w:p>
      <w:pPr>
        <w:pStyle w:val="Normal"/>
        <w:spacing w:before="0" w:after="90"/>
        <w:rPr/>
      </w:pPr>
      <w:r>
        <w:rPr>
          <w:rFonts w:eastAsia="Arial" w:cs="Arial"/>
          <w:sz w:val="19"/>
          <w:szCs w:val="19"/>
          <w:lang w:val="en-US"/>
        </w:rPr>
        <w:t>[27] Saito, S., et al. (2010). Role of immune cells and uterine NK cells in implantation and early pregnancy. Journal of Reproductive Immunology, 84(1), 2–10.</w:t>
      </w:r>
    </w:p>
    <w:p>
      <w:pPr>
        <w:pStyle w:val="Normal"/>
        <w:spacing w:before="0" w:after="90"/>
        <w:rPr/>
      </w:pPr>
      <w:r>
        <w:rPr>
          <w:rFonts w:eastAsia="Arial" w:cs="Arial"/>
          <w:sz w:val="19"/>
          <w:szCs w:val="19"/>
          <w:lang w:val="en-US"/>
        </w:rPr>
        <w:t>[28] Wu, W.L., et al. (2017). Placental interleukin-6 signaling controls fetal brain development and behavior. Brain, Behavior, and Immunity, 62, 11–23.</w:t>
      </w:r>
    </w:p>
    <w:p>
      <w:pPr>
        <w:pStyle w:val="Normal"/>
        <w:spacing w:before="0" w:after="90"/>
        <w:rPr/>
      </w:pPr>
      <w:r>
        <w:rPr>
          <w:rFonts w:eastAsia="Arial" w:cs="Arial"/>
          <w:sz w:val="19"/>
          <w:szCs w:val="19"/>
          <w:lang w:val="en-US"/>
        </w:rPr>
        <w:t>[29] Mariette, X., et al. (2018). There is a lack of placental transfer of certolizumab pegol during pregnancy. Annals of the Rheumatic Diseases, 77(2), 228–233.</w:t>
      </w:r>
    </w:p>
    <w:p>
      <w:pPr>
        <w:pStyle w:val="Normal"/>
        <w:spacing w:before="0" w:after="90"/>
        <w:rPr/>
      </w:pPr>
      <w:r>
        <w:rPr>
          <w:rFonts w:eastAsia="Arial" w:cs="Arial"/>
          <w:sz w:val="19"/>
          <w:szCs w:val="19"/>
          <w:lang w:val="en-US"/>
        </w:rPr>
        <w:t>[30] Menzies-Gow, A., et al. (2021). Tezepelumab in adults and adolescents with severe, uncontrolled asthma. New England Journal of Medicine, 384(19), 1800–1809.</w:t>
      </w:r>
    </w:p>
    <w:p>
      <w:pPr>
        <w:pStyle w:val="Normal"/>
        <w:spacing w:before="0" w:after="90"/>
        <w:rPr/>
      </w:pPr>
      <w:r>
        <w:rPr>
          <w:rFonts w:eastAsia="Arial" w:cs="Arial"/>
          <w:sz w:val="19"/>
          <w:szCs w:val="19"/>
          <w:lang w:val="en-US"/>
        </w:rPr>
        <w:t>[31] Rachubinski, A.L., et al. (2024). JAK inhibition in Down Syndrome Regression Disorder. Journal of Neuroimmunology, 395, 578442.</w:t>
      </w:r>
    </w:p>
    <w:p>
      <w:pPr>
        <w:pStyle w:val="Normal"/>
        <w:spacing w:before="0" w:after="90"/>
        <w:rPr/>
      </w:pPr>
      <w:r>
        <w:rPr>
          <w:rFonts w:eastAsia="Arial" w:cs="Arial"/>
          <w:sz w:val="19"/>
          <w:szCs w:val="19"/>
          <w:lang w:val="en-US"/>
        </w:rPr>
        <w:t>[32] Murphy, A.J., et al. (2024). Down syndrome and DYRK1A overexpression: relationships and future therapeutic directions. Frontiers in Molecular Neuroscience, 17, 1391564.</w:t>
      </w:r>
    </w:p>
    <w:p>
      <w:pPr>
        <w:pStyle w:val="Normal"/>
        <w:spacing w:before="0" w:after="90"/>
        <w:rPr/>
      </w:pPr>
      <w:r>
        <w:rPr>
          <w:rFonts w:eastAsia="Arial" w:cs="Arial"/>
          <w:sz w:val="19"/>
          <w:szCs w:val="19"/>
          <w:lang w:val="en-US"/>
        </w:rPr>
        <w:t>[33] Bhatt, D.L., et al. (2021). Novel DYRK1A inhibitor rescues learning and memory deficits in a mouse model of Down syndrome. Pharmaceuticals, 14(11), 1170.</w:t>
      </w:r>
    </w:p>
    <w:p>
      <w:pPr>
        <w:pStyle w:val="Normal"/>
        <w:spacing w:before="0" w:after="90"/>
        <w:rPr/>
      </w:pPr>
      <w:r>
        <w:rPr>
          <w:rFonts w:eastAsia="Arial" w:cs="Arial"/>
          <w:sz w:val="19"/>
          <w:szCs w:val="19"/>
          <w:lang w:val="en-US"/>
        </w:rPr>
        <w:t>[34] Cohen, J.L., et al. (2022). In utero enzyme-replacement therapy for infantile-onset Pompe’s disease. New England Journal of Medicine, 387(23), 2150–2158.</w:t>
      </w:r>
    </w:p>
    <w:p>
      <w:pPr>
        <w:pStyle w:val="Normal"/>
        <w:spacing w:before="0" w:after="90"/>
        <w:rPr/>
      </w:pPr>
      <w:r>
        <w:rPr>
          <w:rFonts w:eastAsia="Arial" w:cs="Arial"/>
          <w:sz w:val="19"/>
          <w:szCs w:val="19"/>
          <w:lang w:val="en-US"/>
        </w:rPr>
        <w:t>[35] Lianoglou, B.R., et al. (2025). Prenatal delivery of enzyme replacement therapy to fetuses with early-onset lysosomal storage diseases. American Journal of Medical Genetics Part C, e32132.</w:t>
      </w:r>
    </w:p>
    <w:p>
      <w:pPr>
        <w:pStyle w:val="Normal"/>
        <w:spacing w:before="0" w:after="90"/>
        <w:rPr/>
      </w:pPr>
      <w:r>
        <w:rPr>
          <w:rFonts w:eastAsia="Arial" w:cs="Arial"/>
          <w:sz w:val="19"/>
          <w:szCs w:val="19"/>
          <w:lang w:val="en-US"/>
        </w:rPr>
        <w:t>[36] Servais, L., et al. (2025). Prenatal treatment of spinal muscular atrophy. Molecular Therapy, 33.</w:t>
      </w:r>
    </w:p>
    <w:p>
      <w:pPr>
        <w:pStyle w:val="Normal"/>
        <w:spacing w:before="0" w:after="90"/>
        <w:rPr/>
      </w:pPr>
      <w:r>
        <w:rPr>
          <w:rFonts w:eastAsia="Arial" w:cs="Arial"/>
          <w:sz w:val="19"/>
          <w:szCs w:val="19"/>
          <w:lang w:val="en-US"/>
        </w:rPr>
        <w:t>[37] Borges, B., et al. (2025). Intra-amniotic antisense oligonucleotide treatment improves phenotypes in preclinical models of spinal muscular atrophy. Science Translational Medicine, 17, eadv4656.</w:t>
      </w:r>
    </w:p>
    <w:p>
      <w:pPr>
        <w:pStyle w:val="Normal"/>
        <w:spacing w:before="0" w:after="90"/>
        <w:rPr/>
      </w:pPr>
      <w:r>
        <w:rPr>
          <w:rFonts w:eastAsia="Arial" w:cs="Arial"/>
          <w:sz w:val="19"/>
          <w:szCs w:val="19"/>
          <w:lang w:val="en-US"/>
        </w:rPr>
        <w:t>[38] Clarke, M.T., et al. (2024). Prenatal delivery of a therapeutic antisense oligonucleotide achieves broad biodistribution in the brain and ameliorates the Angelman syndrome phenotype in mice. Molecular Therapy, 32, 935–951.</w:t>
      </w:r>
    </w:p>
    <w:p>
      <w:pPr>
        <w:pStyle w:val="Normal"/>
        <w:spacing w:before="0" w:after="90"/>
        <w:rPr/>
      </w:pPr>
      <w:r>
        <w:rPr>
          <w:rFonts w:eastAsia="Arial" w:cs="Arial"/>
          <w:sz w:val="19"/>
          <w:szCs w:val="19"/>
          <w:lang w:val="en-US"/>
        </w:rPr>
        <w:t>[39] Julsgård, M., et al. (2021). The use and impact of monoclonal antibody biologics during pregnancy. CMAJ, 193(29), E1129–E1136.</w:t>
      </w:r>
    </w:p>
    <w:p>
      <w:pPr>
        <w:pStyle w:val="Normal"/>
        <w:spacing w:before="0" w:after="90"/>
        <w:rPr/>
      </w:pPr>
      <w:r>
        <w:rPr>
          <w:rFonts w:eastAsia="Arial" w:cs="Arial"/>
          <w:sz w:val="19"/>
          <w:szCs w:val="19"/>
          <w:lang w:val="en-US"/>
        </w:rPr>
        <w:t>[40] MSBase Study Group. (2025). Four years on: Pregnancy and birth outcomes in the MSBase pregnancy registry (2020–2024). Multiple Sclerosis Journal. PMC12357973.</w:t>
      </w:r>
    </w:p>
    <w:p>
      <w:pPr>
        <w:pStyle w:val="Normal"/>
        <w:spacing w:before="0" w:after="90"/>
        <w:rPr/>
      </w:pPr>
      <w:r>
        <w:rPr>
          <w:rFonts w:eastAsia="Arial" w:cs="Arial"/>
          <w:sz w:val="19"/>
          <w:szCs w:val="19"/>
          <w:lang w:val="en-US"/>
        </w:rPr>
        <w:t>[41] Asthma in Pregnancy Toolkit. (2025). Monoclonal antibody therapy asthmapregnancytoolkit.org.au.</w:t>
      </w:r>
    </w:p>
    <w:p>
      <w:pPr>
        <w:pStyle w:val="Normal"/>
        <w:spacing w:before="0" w:after="90"/>
        <w:rPr/>
      </w:pPr>
      <w:r>
        <w:rPr>
          <w:rFonts w:eastAsia="Arial" w:cs="Arial"/>
          <w:sz w:val="19"/>
          <w:szCs w:val="19"/>
          <w:lang w:val="en-US"/>
        </w:rPr>
        <w:t>[42] Reinholdt, L.G., et al. (2022). The impact of Mmu17 non-Hsa21 orthologous genes in the Ts65Dn mouse model of Down syndrome. bioRxiv. DOI:10.1101/2022.09.23.509067.</w:t>
      </w:r>
    </w:p>
    <w:p>
      <w:pPr>
        <w:pStyle w:val="Normal"/>
        <w:spacing w:before="0" w:after="90"/>
        <w:rPr/>
      </w:pPr>
      <w:r>
        <w:rPr>
          <w:rFonts w:eastAsia="Arial" w:cs="Arial"/>
          <w:sz w:val="19"/>
          <w:szCs w:val="19"/>
          <w:lang w:val="en-US"/>
        </w:rPr>
        <w:t>[43] Martinez, D.R., et al. (2023). Evidence for the role of a second Fc-binding receptor in placental IgG transfer in nonhuman primates. PLOS Biology. PMC10127586.</w:t>
      </w:r>
    </w:p>
    <w:p>
      <w:pPr>
        <w:pStyle w:val="Normal"/>
        <w:spacing w:before="0" w:after="90"/>
        <w:rPr/>
      </w:pPr>
      <w:r>
        <w:rPr>
          <w:rFonts w:eastAsia="Arial" w:cs="Arial"/>
          <w:sz w:val="19"/>
          <w:szCs w:val="19"/>
          <w:lang w:val="en-US"/>
        </w:rPr>
        <w:t>[44] Galbraith, M.D., et al. (2023). Multidimensional definition of the interferonopathy of Down syndrome and its response to JAK inhibition. Science Advances, 9(26), eadg6218.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4b77b5"/>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qFormat/>
    <w:pPr>
      <w:widowControl/>
      <w:suppressAutoHyphens w:val="true"/>
      <w:bidi w:val="0"/>
      <w:spacing w:before="320" w:after="160"/>
      <w:jc w:val="left"/>
      <w:outlineLvl w:val="0"/>
    </w:pPr>
    <w:rPr>
      <w:rFonts w:ascii="Arial" w:hAnsi="Arial" w:eastAsia="Arial" w:cs="Arial"/>
      <w:b/>
      <w:bCs/>
      <w:color w:val="1F3864"/>
      <w:kern w:val="0"/>
      <w:sz w:val="30"/>
      <w:szCs w:val="30"/>
      <w:lang w:val="en-US" w:eastAsia="en-US" w:bidi="ar-SA"/>
    </w:rPr>
  </w:style>
  <w:style w:type="paragraph" w:styleId="Heading2">
    <w:name w:val="heading 2"/>
    <w:qFormat/>
    <w:pPr>
      <w:widowControl/>
      <w:suppressAutoHyphens w:val="true"/>
      <w:bidi w:val="0"/>
      <w:spacing w:before="240" w:after="120"/>
      <w:jc w:val="left"/>
      <w:outlineLvl w:val="1"/>
    </w:pPr>
    <w:rPr>
      <w:rFonts w:ascii="Arial" w:hAnsi="Arial" w:eastAsia="Arial" w:cs="Arial"/>
      <w:b/>
      <w:bCs/>
      <w:color w:val="2E5FA3"/>
      <w:kern w:val="0"/>
      <w:sz w:val="24"/>
      <w:szCs w:val="24"/>
      <w:lang w:val="en-US" w:eastAsia="en-US" w:bidi="ar-SA"/>
    </w:rPr>
  </w:style>
  <w:style w:type="paragraph" w:styleId="Heading3">
    <w:name w:val="heading 3"/>
    <w:qFormat/>
    <w:pPr>
      <w:widowControl/>
      <w:suppressAutoHyphens w:val="true"/>
      <w:bidi w:val="0"/>
      <w:spacing w:before="160" w:after="80"/>
      <w:jc w:val="left"/>
      <w:outlineLvl w:val="2"/>
    </w:pPr>
    <w:rPr>
      <w:rFonts w:ascii="Arial" w:hAnsi="Arial" w:eastAsia="Arial" w:cs="Arial"/>
      <w:b/>
      <w:bCs/>
      <w:color w:val="444444"/>
      <w:kern w:val="0"/>
      <w:sz w:val="22"/>
      <w:szCs w:val="22"/>
      <w:lang w:val="en-US" w:eastAsia="en-US" w:bidi="ar-SA"/>
    </w:rPr>
  </w:style>
  <w:style w:type="paragraph" w:styleId="Heading4">
    <w:name w:val="heading 4"/>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ar-SA"/>
    </w:rPr>
  </w:style>
  <w:style w:type="paragraph" w:styleId="Heading5">
    <w:name w:val="heading 5"/>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ar-SA"/>
    </w:rPr>
  </w:style>
  <w:style w:type="paragraph" w:styleId="Heading6">
    <w:name w:val="heading 6"/>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qFormat/>
    <w:rsid w:val="000f3df7"/>
    <w:rPr>
      <w:sz w:val="16"/>
      <w:szCs w:val="16"/>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Title">
    <w:name w:val="Title"/>
    <w:qFormat/>
    <w:pPr>
      <w:widowControl/>
      <w:suppressAutoHyphens w:val="true"/>
      <w:bidi w:val="0"/>
      <w:spacing w:before="0" w:after="0"/>
      <w:jc w:val="left"/>
    </w:pPr>
    <w:rPr>
      <w:rFonts w:ascii="Arial" w:hAnsi="Arial" w:eastAsia="Arial" w:cs="Arial"/>
      <w:color w:val="auto"/>
      <w:kern w:val="0"/>
      <w:sz w:val="56"/>
      <w:szCs w:val="56"/>
      <w:lang w:val="en-US" w:eastAsia="en-US" w:bidi="ar-SA"/>
    </w:rPr>
  </w:style>
  <w:style w:type="paragraph" w:styleId="StrongEmphasis" w:customStyle="1">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lineRule="auto" w:line="240" w:before="0" w:after="0"/>
      <w:jc w:val="left"/>
    </w:pPr>
    <w:rPr>
      <w:rFonts w:ascii="Arial" w:hAnsi="Arial" w:eastAsia="Arial" w:cs="Arial"/>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lineRule="auto" w:line="240" w:before="0" w:after="0"/>
      <w:jc w:val="left"/>
    </w:pPr>
    <w:rPr>
      <w:rFonts w:ascii="Arial" w:hAnsi="Arial" w:eastAsia="Arial" w:cs="Arial"/>
      <w:color w:val="auto"/>
      <w:kern w:val="0"/>
      <w:sz w:val="20"/>
      <w:szCs w:val="20"/>
      <w:lang w:val="en-US" w:eastAsia="en-US" w:bidi="ar-SA"/>
    </w:rPr>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21</Pages>
  <Words>9969</Words>
  <Characters>62386</Characters>
  <CharactersWithSpaces>72008</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2026-06-26T03:12:16Z</dcterms:created>
  <dc:creator>Un-named</dc:creator>
  <dc:description/>
  <dc:language>en-US</dc:language>
  <cp:lastModifiedBy/>
  <dcterms:modified xsi:type="dcterms:W3CDTF">2026-09-06T14:12:29Z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1">
    <vt:filetime>2026-09-06T19:08:01Z</vt:filetime>
  </property>
</Properties>
</file>