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F172A"/>
          <w:sz w:val="48"/>
        </w:rPr>
        <w:t>Community Connections Handoff Guide V23</w:t>
      </w:r>
    </w:p>
    <w:p>
      <w:pPr>
        <w:jc w:val="center"/>
      </w:pPr>
      <w:r>
        <w:rPr>
          <w:color w:val="475569"/>
          <w:sz w:val="22"/>
        </w:rPr>
        <w:t>Final Green Build handoff - July 13, 2026</w:t>
      </w:r>
    </w:p>
    <w:p>
      <w:pPr>
        <w:jc w:val="center"/>
      </w:pPr>
      <w:r>
        <w:rPr>
          <w:color w:val="0EA5E9"/>
          <w:sz w:val="16"/>
        </w:rPr>
        <w: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0F172A"/>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FFFFFF"/>
              </w:rPr>
              <w:t>Version</w:t>
            </w:r>
          </w:p>
        </w:tc>
        <w:tc>
          <w:tcPr>
            <w:tcW w:type="dxa" w:w="2556"/>
            <w:shd w:fill="0F172A"/>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FFFFFF"/>
              </w:rPr>
              <w:t>Backend</w:t>
            </w:r>
          </w:p>
        </w:tc>
        <w:tc>
          <w:tcPr>
            <w:tcW w:type="dxa" w:w="2556"/>
            <w:shd w:fill="0F172A"/>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FFFFFF"/>
              </w:rPr>
              <w:t>Browser</w:t>
            </w:r>
          </w:p>
        </w:tc>
        <w:tc>
          <w:tcPr>
            <w:tcW w:type="dxa" w:w="2556"/>
            <w:shd w:fill="0F172A"/>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FFFFFF"/>
              </w:rPr>
              <w:t>Status</w:t>
            </w:r>
          </w:p>
        </w:tc>
      </w:tr>
      <w:tr>
        <w:tc>
          <w:tcPr>
            <w:tcW w:type="dxa" w:w="2556"/>
            <w:tcBorders>
              <w:top w:val="single" w:sz="4" w:color="CBD5E1"/>
              <w:left w:val="single" w:sz="4" w:color="CBD5E1"/>
              <w:bottom w:val="single" w:sz="4" w:color="CBD5E1"/>
              <w:right w:val="single" w:sz="4" w:color="CBD5E1"/>
              <w:insideH w:val="single" w:sz="4" w:color="CBD5E1"/>
              <w:insideV w:val="single" w:sz="4" w:color="CBD5E1"/>
            </w:tcBorders>
          </w:tcPr>
          <w:p>
            <w:r>
              <w:rPr>
                <w:b/>
                <w:color w:val="334155"/>
              </w:rPr>
              <w:t>23.0.0</w:t>
            </w:r>
          </w:p>
        </w:tc>
        <w:tc>
          <w:tcPr>
            <w:tcW w:type="dxa" w:w="2556"/>
            <w:tcBorders>
              <w:top w:val="single" w:sz="4" w:color="CBD5E1"/>
              <w:left w:val="single" w:sz="4" w:color="CBD5E1"/>
              <w:bottom w:val="single" w:sz="4" w:color="CBD5E1"/>
              <w:right w:val="single" w:sz="4" w:color="CBD5E1"/>
              <w:insideH w:val="single" w:sz="4" w:color="CBD5E1"/>
              <w:insideV w:val="single" w:sz="4" w:color="CBD5E1"/>
            </w:tcBorders>
          </w:tcPr>
          <w:p>
            <w:r>
              <w:rPr>
                <w:b/>
                <w:color w:val="334155"/>
              </w:rPr>
              <w:t>267 / 267 PASS</w:t>
            </w:r>
          </w:p>
        </w:tc>
        <w:tc>
          <w:tcPr>
            <w:tcW w:type="dxa" w:w="2556"/>
            <w:tcBorders>
              <w:top w:val="single" w:sz="4" w:color="CBD5E1"/>
              <w:left w:val="single" w:sz="4" w:color="CBD5E1"/>
              <w:bottom w:val="single" w:sz="4" w:color="CBD5E1"/>
              <w:right w:val="single" w:sz="4" w:color="CBD5E1"/>
              <w:insideH w:val="single" w:sz="4" w:color="CBD5E1"/>
              <w:insideV w:val="single" w:sz="4" w:color="CBD5E1"/>
            </w:tcBorders>
          </w:tcPr>
          <w:p>
            <w:r>
              <w:rPr>
                <w:b/>
                <w:color w:val="334155"/>
              </w:rPr>
              <w:t>22 / 22 PASS</w:t>
            </w:r>
          </w:p>
        </w:tc>
        <w:tc>
          <w:tcPr>
            <w:tcW w:type="dxa" w:w="2556"/>
            <w:tcBorders>
              <w:top w:val="single" w:sz="4" w:color="CBD5E1"/>
              <w:left w:val="single" w:sz="4" w:color="CBD5E1"/>
              <w:bottom w:val="single" w:sz="4" w:color="CBD5E1"/>
              <w:right w:val="single" w:sz="4" w:color="CBD5E1"/>
              <w:insideH w:val="single" w:sz="4" w:color="CBD5E1"/>
              <w:insideV w:val="single" w:sz="4" w:color="CBD5E1"/>
            </w:tcBorders>
            <w:shd w:fill="DCFCE7"/>
          </w:tcPr>
          <w:p>
            <w:r>
              <w:rPr>
                <w:b/>
                <w:color w:val="16A34A"/>
              </w:rPr>
              <w:t>FINAL GREEN BUILD</w:t>
            </w:r>
          </w:p>
        </w:tc>
      </w:tr>
    </w:tbl>
    <w:p/>
    <w:p>
      <w:pPr>
        <w:pStyle w:val="Heading1"/>
      </w:pPr>
      <w:r>
        <w:t>Source of Truth</w:t>
      </w:r>
    </w:p>
    <w:p>
      <w:pPr>
        <w:pStyle w:val="ListBullet"/>
        <w:spacing w:after="40"/>
      </w:pPr>
      <w:r>
        <w:t>Use the V23.0.0 final source bundle in this handoff as the authoritative application source.</w:t>
      </w:r>
    </w:p>
    <w:p>
      <w:pPr>
        <w:pStyle w:val="ListBullet"/>
        <w:spacing w:after="40"/>
      </w:pPr>
      <w:r>
        <w:t>Use the V23 Project Brain, Changelog, Sprint Board, and Regression Checklist included in this handoff.</w:t>
      </w:r>
    </w:p>
    <w:p>
      <w:pPr>
        <w:pStyle w:val="ListBullet"/>
        <w:spacing w:after="40"/>
      </w:pPr>
      <w:r>
        <w:t>Do not restore older V22 or intermediate V23 sprint bundles over this build.</w:t>
      </w:r>
    </w:p>
    <w:p>
      <w:pPr>
        <w:pStyle w:val="ListBullet"/>
        <w:spacing w:after="40"/>
      </w:pPr>
      <w:r>
        <w:t>The final analytics CSS display correction is included. The CSS must remain inside valid &lt;style&gt; blocks.</w:t>
      </w:r>
    </w:p>
    <w:p>
      <w:pPr>
        <w:pStyle w:val="Heading1"/>
      </w:pPr>
      <w:r>
        <w:t>Verified Release Baseline</w:t>
      </w:r>
    </w:p>
    <w:p>
      <w:pPr>
        <w:pStyle w:val="ListBullet"/>
        <w:spacing w:after="40"/>
      </w:pPr>
      <w:r>
        <w:t>Backend regression: 267 passed, 0 failed, 0 warnings.</w:t>
      </w:r>
    </w:p>
    <w:p>
      <w:pPr>
        <w:pStyle w:val="ListBullet"/>
        <w:spacing w:after="40"/>
      </w:pPr>
      <w:r>
        <w:t>Browser regression: 22 passed, 0 failed, 0 warnings, 0 skipped.</w:t>
      </w:r>
    </w:p>
    <w:p>
      <w:pPr>
        <w:pStyle w:val="ListBullet"/>
        <w:spacing w:after="40"/>
      </w:pPr>
      <w:r>
        <w:t>Public app loads without Google login.</w:t>
      </w:r>
    </w:p>
    <w:p>
      <w:pPr>
        <w:pStyle w:val="ListBullet"/>
        <w:spacing w:after="40"/>
      </w:pPr>
      <w:r>
        <w:t>Approved organizer account is recognized and Organizer Command Center loads.</w:t>
      </w:r>
    </w:p>
    <w:p>
      <w:pPr>
        <w:pStyle w:val="ListBullet"/>
        <w:spacing w:after="40"/>
      </w:pPr>
      <w:r>
        <w:t>Landing page, public app, registration, mobile, organizer, and browser health checks are clean.</w:t>
      </w:r>
    </w:p>
    <w:p>
      <w:pPr>
        <w:pStyle w:val="Heading1"/>
      </w:pPr>
      <w:r>
        <w:t>Exact Next Task for V24</w:t>
      </w:r>
    </w:p>
    <w:p>
      <w:r>
        <w:t>Run a focused production acceptance pass for Community Memories using one completed adventure. Verify the complete path from public submission through organizer moderation and public display. Fix only confirmed defects and preserve the V23 Green Build baseline.</w:t>
      </w:r>
    </w:p>
    <w:p>
      <w:pPr>
        <w:pStyle w:val="Heading2"/>
      </w:pPr>
      <w:r>
        <w:t>V24 Acceptance Sequence</w:t>
      </w:r>
    </w:p>
    <w:p>
      <w:pPr>
        <w:pStyle w:val="ListNumber"/>
        <w:spacing w:after="40"/>
      </w:pPr>
      <w:r>
        <w:t>Open one completed adventure in the public experience.</w:t>
      </w:r>
    </w:p>
    <w:p>
      <w:pPr>
        <w:pStyle w:val="ListNumber"/>
        <w:spacing w:after="40"/>
      </w:pPr>
      <w:r>
        <w:t>Submit one or more memory photos with a contributor name and caption.</w:t>
      </w:r>
    </w:p>
    <w:p>
      <w:pPr>
        <w:pStyle w:val="ListNumber"/>
        <w:spacing w:after="40"/>
      </w:pPr>
      <w:r>
        <w:t>Confirm the organizer receives a pending-memory alert and sees the correct pending count.</w:t>
      </w:r>
    </w:p>
    <w:p>
      <w:pPr>
        <w:pStyle w:val="ListNumber"/>
        <w:spacing w:after="40"/>
      </w:pPr>
      <w:r>
        <w:t>Approve the memory, set one memory as featured, and confirm moderation filters and counts.</w:t>
      </w:r>
    </w:p>
    <w:p>
      <w:pPr>
        <w:pStyle w:val="ListNumber"/>
        <w:spacing w:after="40"/>
      </w:pPr>
      <w:r>
        <w:t>Confirm the approved memory appears publicly with caption, contributor, responsive gallery, and lightbox controls.</w:t>
      </w:r>
    </w:p>
    <w:p>
      <w:pPr>
        <w:pStyle w:val="ListNumber"/>
        <w:spacing w:after="40"/>
      </w:pPr>
      <w:r>
        <w:t>Verify the same flow on mobile and confirm no horizontal overflow or broken images.</w:t>
      </w:r>
    </w:p>
    <w:p>
      <w:pPr>
        <w:pStyle w:val="ListNumber"/>
        <w:spacing w:after="40"/>
      </w:pPr>
      <w:r>
        <w:t>Rerun backend and browser regression after any code change.</w:t>
      </w:r>
    </w:p>
    <w:p>
      <w:pPr>
        <w:pStyle w:val="Heading1"/>
      </w:pPr>
      <w:r>
        <w:t>Do Not Reopen Without Explicit Instruction</w:t>
      </w:r>
    </w:p>
    <w:p>
      <w:pPr>
        <w:pStyle w:val="ListBullet"/>
        <w:spacing w:after="40"/>
      </w:pPr>
      <w:r>
        <w:t>Public name: Find Your Next Adventure.</w:t>
      </w:r>
    </w:p>
    <w:p>
      <w:pPr>
        <w:pStyle w:val="ListBullet"/>
        <w:spacing w:after="40"/>
      </w:pPr>
      <w:r>
        <w:t>Admin names: Adventure Builder and Organizer Command Center.</w:t>
      </w:r>
    </w:p>
    <w:p>
      <w:pPr>
        <w:pStyle w:val="ListBullet"/>
        <w:spacing w:after="40"/>
      </w:pPr>
      <w:r>
        <w:t>Public access without Google login.</w:t>
      </w:r>
    </w:p>
    <w:p>
      <w:pPr>
        <w:pStyle w:val="ListBullet"/>
        <w:spacing w:after="40"/>
      </w:pPr>
      <w:r>
        <w:t>Approved Google account required for organizer access.</w:t>
      </w:r>
    </w:p>
    <w:p>
      <w:pPr>
        <w:pStyle w:val="ListBullet"/>
        <w:spacing w:after="40"/>
      </w:pPr>
      <w:r>
        <w:t>Member-organized event disclaimer and settled community language.</w:t>
      </w:r>
    </w:p>
    <w:p>
      <w:pPr>
        <w:pStyle w:val="ListBullet"/>
        <w:spacing w:after="40"/>
      </w:pPr>
      <w:r>
        <w:t>Current architecture, sheet model, and naming decisions.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