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40000" cy="803409"/>
            <wp:docPr id="1" name="Picture 1"/>
            <wp:cNvGraphicFramePr>
              <a:graphicFrameLocks noChangeAspect="1"/>
            </wp:cNvGraphicFramePr>
            <a:graphic>
              <a:graphicData uri="http://schemas.openxmlformats.org/drawingml/2006/picture">
                <pic:pic>
                  <pic:nvPicPr>
                    <pic:cNvPr id="0" name="sela-logo.png"/>
                    <pic:cNvPicPr/>
                  </pic:nvPicPr>
                  <pic:blipFill>
                    <a:blip r:embed="rId9"/>
                    <a:stretch>
                      <a:fillRect/>
                    </a:stretch>
                  </pic:blipFill>
                  <pic:spPr>
                    <a:xfrm>
                      <a:off x="0" y="0"/>
                      <a:ext cx="2340000" cy="803409"/>
                    </a:xfrm>
                    <a:prstGeom prst="rect"/>
                  </pic:spPr>
                </pic:pic>
              </a:graphicData>
            </a:graphic>
          </wp:inline>
        </w:drawing>
      </w:r>
    </w:p>
    <w:p>
      <w:pPr>
        <w:jc w:val="center"/>
      </w:pPr>
      <w:r>
        <w:rPr>
          <w:b/>
          <w:sz w:val="40"/>
        </w:rPr>
        <w:t>Practical Sign-Off &amp; Assessment Booklet</w:t>
      </w:r>
    </w:p>
    <w:p>
      <w:pPr>
        <w:jc w:val="center"/>
      </w:pPr>
      <w:r>
        <w:rPr>
          <w:b/>
          <w:sz w:val="26"/>
        </w:rPr>
        <w:t>Skill Standard 40233: Assist with Temporary Traffic Management within the Road Reserve</w:t>
      </w:r>
    </w:p>
    <w:p>
      <w:r>
        <w:rPr>
          <w:b w:val="0"/>
          <w:i/>
          <w:sz w:val="22"/>
        </w:rPr>
        <w:t>Level 3, 5 Credits</w:t>
      </w:r>
    </w:p>
    <w:p>
      <w:pPr>
        <w:jc w:val="center"/>
      </w:pPr>
      <w:r>
        <w:rPr>
          <w:i/>
          <w:color w:val="606060"/>
          <w:sz w:val="18"/>
        </w:rPr>
        <w:t>Document version 1.0  ·  issued 26 August 2026</w:t>
      </w:r>
    </w:p>
    <w:p/>
    <w:p>
      <w:r>
        <w:rPr>
          <w:b w:val="0"/>
          <w:i w:val="0"/>
          <w:sz w:val="22"/>
        </w:rPr>
        <w:t>For the Learner: Complete the theory assessment section independently. Then, work alongside your supervisor to complete the practical observation tasks. You must gather evidence of your competency in a real or simulated road reserve.</w:t>
      </w:r>
    </w:p>
    <w:p>
      <w:r>
        <w:rPr>
          <w:b w:val="0"/>
          <w:i w:val="0"/>
          <w:sz w:val="22"/>
        </w:rPr>
        <w:t>For the Supervisor / Assessor: You must provide an appropriate level of supervision to ensure safety. Observe the learner performing the tasks, evaluate their responses, and sign off only when you are confident they meet the criteria safely and correctly, following organisational requirements and the Traffic Management Plan (TMP).</w:t>
      </w:r>
    </w:p>
    <w:p/>
    <w:p>
      <w:pPr>
        <w:pStyle w:val="Heading2"/>
      </w:pPr>
      <w:r>
        <w:t>Learner &amp; Site Details</w:t>
      </w:r>
    </w:p>
    <w:tbl>
      <w:tblPr>
        <w:tblStyle w:val="TableGrid"/>
        <w:tblW w:type="auto" w:w="0"/>
        <w:tblLook w:firstColumn="1" w:firstRow="1" w:lastColumn="0" w:lastRow="0" w:noHBand="0" w:noVBand="1" w:val="04A0"/>
      </w:tblPr>
      <w:tblGrid>
        <w:gridCol w:w="4986"/>
        <w:gridCol w:w="4986"/>
      </w:tblGrid>
      <w:tr>
        <w:tc>
          <w:tcPr>
            <w:tcW w:type="dxa" w:w="4986"/>
          </w:tcPr>
          <w:p>
            <w:r/>
            <w:r>
              <w:rPr>
                <w:b/>
              </w:rPr>
              <w:t>Learner name:</w:t>
            </w:r>
          </w:p>
        </w:tc>
        <w:tc>
          <w:tcPr>
            <w:tcW w:type="dxa" w:w="4986"/>
          </w:tcPr>
          <w:p>
            <w:r/>
          </w:p>
        </w:tc>
      </w:tr>
      <w:tr>
        <w:tc>
          <w:tcPr>
            <w:tcW w:type="dxa" w:w="4986"/>
          </w:tcPr>
          <w:p>
            <w:r/>
            <w:r>
              <w:rPr>
                <w:b/>
              </w:rPr>
              <w:t>Employer / PCBU:</w:t>
            </w:r>
          </w:p>
        </w:tc>
        <w:tc>
          <w:tcPr>
            <w:tcW w:type="dxa" w:w="4986"/>
          </w:tcPr>
          <w:p>
            <w:r/>
          </w:p>
        </w:tc>
      </w:tr>
      <w:tr>
        <w:tc>
          <w:tcPr>
            <w:tcW w:type="dxa" w:w="4986"/>
          </w:tcPr>
          <w:p>
            <w:r/>
            <w:r>
              <w:rPr>
                <w:b/>
              </w:rPr>
              <w:t>Site / TMP reference:</w:t>
            </w:r>
          </w:p>
        </w:tc>
        <w:tc>
          <w:tcPr>
            <w:tcW w:type="dxa" w:w="4986"/>
          </w:tcPr>
          <w:p>
            <w:r/>
          </w:p>
        </w:tc>
      </w:tr>
      <w:tr>
        <w:tc>
          <w:tcPr>
            <w:tcW w:type="dxa" w:w="4986"/>
          </w:tcPr>
          <w:p>
            <w:r/>
            <w:r>
              <w:rPr>
                <w:b/>
              </w:rPr>
              <w:t>Assessment date:</w:t>
            </w:r>
          </w:p>
        </w:tc>
        <w:tc>
          <w:tcPr>
            <w:tcW w:type="dxa" w:w="4986"/>
          </w:tcPr>
          <w:p>
            <w:r>
              <w:t>____ / ____ / 2026</w:t>
            </w:r>
          </w:p>
        </w:tc>
      </w:tr>
    </w:tbl>
    <w:p/>
    <w:p>
      <w:pPr>
        <w:pStyle w:val="Heading1"/>
      </w:pPr>
      <w:r>
        <w:t>Part 1: Theory Assessment</w:t>
      </w:r>
    </w:p>
    <w:p>
      <w:r>
        <w:rPr>
          <w:b w:val="0"/>
          <w:i/>
          <w:sz w:val="22"/>
        </w:rPr>
        <w:t>Answer the following short-answer and scenario-based questions to demonstrate your foundational knowledge.</w:t>
      </w:r>
    </w:p>
    <w:p>
      <w:pPr>
        <w:pStyle w:val="Heading2"/>
      </w:pPr>
      <w:r>
        <w:t>1. Definitions and Scope</w:t>
      </w:r>
    </w:p>
    <w:p>
      <w:r>
        <w:rPr>
          <w:b/>
          <w:i w:val="0"/>
          <w:sz w:val="22"/>
        </w:rPr>
        <w:t>Q1: According to the standard, define what is meant by the road reserve.</w:t>
      </w:r>
    </w:p>
    <w:tbl>
      <w:tblPr>
        <w:tblStyle w:val="TableGrid"/>
        <w:tblW w:type="auto" w:w="0"/>
        <w:tblLook w:firstColumn="1" w:firstRow="1" w:lastColumn="0" w:lastRow="0" w:noHBand="0" w:noVBand="1" w:val="04A0"/>
      </w:tblPr>
      <w:tblGrid>
        <w:gridCol w:w="9972"/>
      </w:tblGrid>
      <w:tr>
        <w:trPr>
          <w:trHeight w:val="400"/>
        </w:trPr>
        <w:tc>
          <w:tcPr>
            <w:tcW w:type="dxa" w:w="9972"/>
          </w:tcPr>
          <w:p>
            <w:r/>
          </w:p>
        </w:tc>
      </w:tr>
      <w:tr>
        <w:trPr>
          <w:trHeight w:val="400"/>
        </w:trPr>
        <w:tc>
          <w:tcPr>
            <w:tcW w:type="dxa" w:w="9972"/>
          </w:tcPr>
          <w:p>
            <w:r/>
          </w:p>
        </w:tc>
      </w:tr>
      <w:tr>
        <w:trPr>
          <w:trHeight w:val="400"/>
        </w:trPr>
        <w:tc>
          <w:tcPr>
            <w:tcW w:type="dxa" w:w="9972"/>
          </w:tcPr>
          <w:p>
            <w:r/>
          </w:p>
        </w:tc>
      </w:tr>
    </w:tbl>
    <w:p/>
    <w:p>
      <w:r>
        <w:rPr>
          <w:b/>
          <w:i w:val="0"/>
          <w:sz w:val="22"/>
        </w:rPr>
        <w:t>Q2: What defines the boundaries of a TTM zone?</w:t>
      </w:r>
    </w:p>
    <w:tbl>
      <w:tblPr>
        <w:tblStyle w:val="TableGrid"/>
        <w:tblW w:type="auto" w:w="0"/>
        <w:tblLook w:firstColumn="1" w:firstRow="1" w:lastColumn="0" w:lastRow="0" w:noHBand="0" w:noVBand="1" w:val="04A0"/>
      </w:tblPr>
      <w:tblGrid>
        <w:gridCol w:w="9972"/>
      </w:tblGrid>
      <w:tr>
        <w:trPr>
          <w:trHeight w:val="400"/>
        </w:trPr>
        <w:tc>
          <w:tcPr>
            <w:tcW w:type="dxa" w:w="9972"/>
          </w:tcPr>
          <w:p>
            <w:r/>
          </w:p>
        </w:tc>
      </w:tr>
      <w:tr>
        <w:trPr>
          <w:trHeight w:val="400"/>
        </w:trPr>
        <w:tc>
          <w:tcPr>
            <w:tcW w:type="dxa" w:w="9972"/>
          </w:tcPr>
          <w:p>
            <w:r/>
          </w:p>
        </w:tc>
      </w:tr>
      <w:tr>
        <w:trPr>
          <w:trHeight w:val="400"/>
        </w:trPr>
        <w:tc>
          <w:tcPr>
            <w:tcW w:type="dxa" w:w="9972"/>
          </w:tcPr>
          <w:p>
            <w:r/>
          </w:p>
        </w:tc>
      </w:tr>
    </w:tbl>
    <w:p/>
    <w:p>
      <w:pPr>
        <w:pStyle w:val="Heading2"/>
      </w:pPr>
      <w:r>
        <w:t>2. Risk Management &amp; TMP Alignment</w:t>
      </w:r>
    </w:p>
    <w:p>
      <w:r>
        <w:rPr>
          <w:b/>
          <w:i w:val="0"/>
          <w:sz w:val="22"/>
        </w:rPr>
        <w:t>Q3: You arrive on site to assist with a TTM setup. The approved TMP specifies dry conditions, but heavy rain has just started, creating pooling water and reduced visibility near the work zone.</w:t>
      </w:r>
    </w:p>
    <w:p>
      <w:r>
        <w:rPr>
          <w:b w:val="0"/>
          <w:i w:val="0"/>
          <w:sz w:val="22"/>
        </w:rPr>
        <w:t>What action must you take regarding the risk assessment?</w:t>
      </w:r>
    </w:p>
    <w:p>
      <w:r>
        <w:rPr>
          <w:b w:val="0"/>
          <w:i w:val="0"/>
          <w:sz w:val="22"/>
        </w:rPr>
        <w:t>Who should you communicate this change to, and why?</w:t>
      </w:r>
    </w:p>
    <w:tbl>
      <w:tblPr>
        <w:tblStyle w:val="TableGrid"/>
        <w:tblW w:type="auto" w:w="0"/>
        <w:tblLook w:firstColumn="1" w:firstRow="1" w:lastColumn="0" w:lastRow="0" w:noHBand="0" w:noVBand="1" w:val="04A0"/>
      </w:tblPr>
      <w:tblGrid>
        <w:gridCol w:w="9972"/>
      </w:tblGrid>
      <w:tr>
        <w:trPr>
          <w:trHeight w:val="400"/>
        </w:trPr>
        <w:tc>
          <w:tcPr>
            <w:tcW w:type="dxa" w:w="9972"/>
          </w:tcPr>
          <w:p>
            <w:r/>
          </w:p>
        </w:tc>
      </w:tr>
      <w:tr>
        <w:trPr>
          <w:trHeight w:val="400"/>
        </w:trPr>
        <w:tc>
          <w:tcPr>
            <w:tcW w:type="dxa" w:w="9972"/>
          </w:tcPr>
          <w:p>
            <w:r/>
          </w:p>
        </w:tc>
      </w:tr>
      <w:tr>
        <w:trPr>
          <w:trHeight w:val="400"/>
        </w:trPr>
        <w:tc>
          <w:tcPr>
            <w:tcW w:type="dxa" w:w="9972"/>
          </w:tcPr>
          <w:p>
            <w:r/>
          </w:p>
        </w:tc>
      </w:tr>
      <w:tr>
        <w:trPr>
          <w:trHeight w:val="400"/>
        </w:trPr>
        <w:tc>
          <w:tcPr>
            <w:tcW w:type="dxa" w:w="9972"/>
          </w:tcPr>
          <w:p>
            <w:r/>
          </w:p>
        </w:tc>
      </w:tr>
    </w:tbl>
    <w:p/>
    <w:p>
      <w:pPr>
        <w:pStyle w:val="Heading2"/>
      </w:pPr>
      <w:r>
        <w:t>3. Safe Practices and Communication</w:t>
      </w:r>
    </w:p>
    <w:p>
      <w:r>
        <w:rPr>
          <w:b/>
          <w:i w:val="0"/>
          <w:sz w:val="22"/>
        </w:rPr>
        <w:t>Q4: Describe two safe practices you must follow when positioning yourself around approaching traffic and moving plant within the TTM zone.</w:t>
      </w:r>
    </w:p>
    <w:p>
      <w:r>
        <w:rPr>
          <w:b w:val="0"/>
          <w:i w:val="0"/>
          <w:sz w:val="22"/>
        </w:rPr>
        <w:t>1.</w:t>
      </w:r>
    </w:p>
    <w:tbl>
      <w:tblPr>
        <w:tblStyle w:val="TableGrid"/>
        <w:tblW w:type="auto" w:w="0"/>
        <w:tblLook w:firstColumn="1" w:firstRow="1" w:lastColumn="0" w:lastRow="0" w:noHBand="0" w:noVBand="1" w:val="04A0"/>
      </w:tblPr>
      <w:tblGrid>
        <w:gridCol w:w="9972"/>
      </w:tblGrid>
      <w:tr>
        <w:trPr>
          <w:trHeight w:val="400"/>
        </w:trPr>
        <w:tc>
          <w:tcPr>
            <w:tcW w:type="dxa" w:w="9972"/>
          </w:tcPr>
          <w:p>
            <w:r/>
          </w:p>
        </w:tc>
      </w:tr>
      <w:tr>
        <w:trPr>
          <w:trHeight w:val="400"/>
        </w:trPr>
        <w:tc>
          <w:tcPr>
            <w:tcW w:type="dxa" w:w="9972"/>
          </w:tcPr>
          <w:p>
            <w:r/>
          </w:p>
        </w:tc>
      </w:tr>
    </w:tbl>
    <w:p/>
    <w:p>
      <w:r>
        <w:rPr>
          <w:b w:val="0"/>
          <w:i w:val="0"/>
          <w:sz w:val="22"/>
        </w:rPr>
        <w:t>2.</w:t>
      </w:r>
    </w:p>
    <w:tbl>
      <w:tblPr>
        <w:tblStyle w:val="TableGrid"/>
        <w:tblW w:type="auto" w:w="0"/>
        <w:tblLook w:firstColumn="1" w:firstRow="1" w:lastColumn="0" w:lastRow="0" w:noHBand="0" w:noVBand="1" w:val="04A0"/>
      </w:tblPr>
      <w:tblGrid>
        <w:gridCol w:w="9972"/>
      </w:tblGrid>
      <w:tr>
        <w:trPr>
          <w:trHeight w:val="400"/>
        </w:trPr>
        <w:tc>
          <w:tcPr>
            <w:tcW w:type="dxa" w:w="9972"/>
          </w:tcPr>
          <w:p>
            <w:r/>
          </w:p>
        </w:tc>
      </w:tr>
      <w:tr>
        <w:trPr>
          <w:trHeight w:val="400"/>
        </w:trPr>
        <w:tc>
          <w:tcPr>
            <w:tcW w:type="dxa" w:w="9972"/>
          </w:tcPr>
          <w:p>
            <w:r/>
          </w:p>
        </w:tc>
      </w:tr>
    </w:tbl>
    <w:p/>
    <w:p>
      <w:r>
        <w:rPr>
          <w:b/>
          <w:i w:val="0"/>
          <w:sz w:val="22"/>
        </w:rPr>
        <w:t>Q5: Why is active communication with TTM workers and the supervisor critical during the operation, maintenance, or uplift phases?</w:t>
      </w:r>
    </w:p>
    <w:tbl>
      <w:tblPr>
        <w:tblStyle w:val="TableGrid"/>
        <w:tblW w:type="auto" w:w="0"/>
        <w:tblLook w:firstColumn="1" w:firstRow="1" w:lastColumn="0" w:lastRow="0" w:noHBand="0" w:noVBand="1" w:val="04A0"/>
      </w:tblPr>
      <w:tblGrid>
        <w:gridCol w:w="9972"/>
      </w:tblGrid>
      <w:tr>
        <w:trPr>
          <w:trHeight w:val="400"/>
        </w:trPr>
        <w:tc>
          <w:tcPr>
            <w:tcW w:type="dxa" w:w="9972"/>
          </w:tcPr>
          <w:p>
            <w:r/>
          </w:p>
        </w:tc>
      </w:tr>
      <w:tr>
        <w:trPr>
          <w:trHeight w:val="400"/>
        </w:trPr>
        <w:tc>
          <w:tcPr>
            <w:tcW w:type="dxa" w:w="9972"/>
          </w:tcPr>
          <w:p>
            <w:r/>
          </w:p>
        </w:tc>
      </w:tr>
      <w:tr>
        <w:trPr>
          <w:trHeight w:val="400"/>
        </w:trPr>
        <w:tc>
          <w:tcPr>
            <w:tcW w:type="dxa" w:w="9972"/>
          </w:tcPr>
          <w:p>
            <w:r/>
          </w:p>
        </w:tc>
      </w:tr>
    </w:tbl>
    <w:p/>
    <w:p>
      <w:pPr>
        <w:pStyle w:val="Heading2"/>
      </w:pPr>
      <w:r>
        <w:t>Theory Assessment Result</w:t>
      </w:r>
    </w:p>
    <w:p>
      <w:r>
        <w:t xml:space="preserve">☐ </w:t>
      </w:r>
      <w:r>
        <w:t>Satisfactory</w:t>
      </w:r>
      <w:r>
        <w:t xml:space="preserve">      </w:t>
      </w:r>
      <w:r>
        <w:t xml:space="preserve">☐ </w:t>
      </w:r>
      <w:r>
        <w:t>Not Yet Satisfactory</w:t>
      </w:r>
    </w:p>
    <w:p>
      <w:r>
        <w:rPr>
          <w:b/>
        </w:rPr>
        <w:t xml:space="preserve">Supervisor initials: </w:t>
      </w:r>
      <w:r>
        <w:t>____________________</w:t>
      </w:r>
    </w:p>
    <w:p>
      <w:r>
        <w:br w:type="page"/>
      </w:r>
    </w:p>
    <w:p>
      <w:pPr>
        <w:pStyle w:val="Heading1"/>
      </w:pPr>
      <w:r>
        <w:t>Part 2: Practical Observation Checklist</w:t>
      </w:r>
    </w:p>
    <w:p>
      <w:r>
        <w:rPr>
          <w:b w:val="0"/>
          <w:i/>
          <w:sz w:val="22"/>
        </w:rPr>
        <w:t>To be completed by the supervisor/assessor during or after practical tasks.</w:t>
      </w: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color="auto" w:fill="D9D9D9"/>
          </w:tcPr>
          <w:p>
            <w:r>
              <w:rPr>
                <w:b/>
              </w:rPr>
              <w:t>Performance Criteria / Task</w:t>
            </w:r>
          </w:p>
        </w:tc>
        <w:tc>
          <w:tcPr>
            <w:tcW w:type="dxa" w:w="3969"/>
            <w:shd w:val="clear" w:color="auto" w:fill="D9D9D9"/>
          </w:tcPr>
          <w:p>
            <w:r>
              <w:rPr>
                <w:b/>
              </w:rPr>
              <w:t>Observation Notes / Evidence Gathered</w:t>
            </w:r>
          </w:p>
        </w:tc>
        <w:tc>
          <w:tcPr>
            <w:tcW w:type="dxa" w:w="1417"/>
            <w:shd w:val="clear" w:color="auto" w:fill="D9D9D9"/>
          </w:tcPr>
          <w:p>
            <w:r>
              <w:rPr>
                <w:b/>
              </w:rPr>
              <w:t>Result</w:t>
            </w:r>
          </w:p>
        </w:tc>
      </w:tr>
      <w:tr>
        <w:tc>
          <w:tcPr>
            <w:tcW w:type="dxa" w:w="3402"/>
          </w:tcPr>
          <w:p>
            <w:r>
              <w:rPr>
                <w:b/>
              </w:rPr>
              <w:t>1. Risk Assessment Check (Outcome 1a)</w:t>
            </w:r>
          </w:p>
          <w:p>
            <w:r>
              <w:t>Learner reviewed the existing risk assessment on site, checked for new/dynamic hazards (e.g. weather, traffic volume), and verified alignment with the TMP.</w:t>
            </w:r>
          </w:p>
        </w:tc>
        <w:tc>
          <w:tcPr>
            <w:tcW w:type="dxa" w:w="3969"/>
          </w:tcPr>
          <w:p>
            <w:r/>
          </w:p>
          <w:p/>
          <w:p/>
          <w:p/>
        </w:tc>
        <w:tc>
          <w:tcPr>
            <w:tcW w:type="dxa" w:w="1417"/>
          </w:tcPr>
          <w:p>
            <w:r/>
            <w:r>
              <w:t>☐ Met</w:t>
            </w:r>
          </w:p>
          <w:p>
            <w:r>
              <w:t>☐ Not Met</w:t>
            </w:r>
          </w:p>
        </w:tc>
      </w:tr>
      <w:tr>
        <w:tc>
          <w:tcPr>
            <w:tcW w:type="dxa" w:w="3402"/>
          </w:tcPr>
          <w:p>
            <w:r>
              <w:rPr>
                <w:b/>
              </w:rPr>
              <w:t>2. Safe Installation &amp; Uplift (Outcome 1b)</w:t>
            </w:r>
          </w:p>
          <w:p>
            <w:r>
              <w:t>Learner followed directions precisely and used safe practices while assisting with the installation, operation, maintenance, and uplift of TTM equipment.</w:t>
            </w:r>
          </w:p>
        </w:tc>
        <w:tc>
          <w:tcPr>
            <w:tcW w:type="dxa" w:w="3969"/>
          </w:tcPr>
          <w:p>
            <w:r/>
          </w:p>
          <w:p/>
          <w:p/>
          <w:p/>
        </w:tc>
        <w:tc>
          <w:tcPr>
            <w:tcW w:type="dxa" w:w="1417"/>
          </w:tcPr>
          <w:p>
            <w:r/>
            <w:r>
              <w:t>☐ Met</w:t>
            </w:r>
          </w:p>
          <w:p>
            <w:r>
              <w:t>☐ Not Met</w:t>
            </w:r>
          </w:p>
        </w:tc>
      </w:tr>
      <w:tr>
        <w:tc>
          <w:tcPr>
            <w:tcW w:type="dxa" w:w="3402"/>
          </w:tcPr>
          <w:p>
            <w:r>
              <w:rPr>
                <w:b/>
              </w:rPr>
              <w:t>3. Communication (Outcome 1c)</w:t>
            </w:r>
          </w:p>
          <w:p>
            <w:r>
              <w:t>Learner communicated clearly and effectively with TTM workers and the supervisor within the road reserve, adhering to organisational requirements and the TMP.</w:t>
            </w:r>
          </w:p>
        </w:tc>
        <w:tc>
          <w:tcPr>
            <w:tcW w:type="dxa" w:w="3969"/>
          </w:tcPr>
          <w:p>
            <w:r/>
          </w:p>
          <w:p/>
          <w:p/>
          <w:p/>
        </w:tc>
        <w:tc>
          <w:tcPr>
            <w:tcW w:type="dxa" w:w="1417"/>
          </w:tcPr>
          <w:p>
            <w:r/>
            <w:r>
              <w:t>☐ Met</w:t>
            </w:r>
          </w:p>
          <w:p>
            <w:r>
              <w:t>☐ Not Met</w:t>
            </w:r>
          </w:p>
        </w:tc>
      </w:tr>
      <w:tr>
        <w:tc>
          <w:tcPr>
            <w:tcW w:type="dxa" w:w="3402"/>
          </w:tcPr>
          <w:p>
            <w:r>
              <w:rPr>
                <w:b/>
              </w:rPr>
              <w:t>4. Controlling Traffic &amp; Vulnerable Road Users (Outcome 1d)</w:t>
            </w:r>
          </w:p>
          <w:p>
            <w:r>
              <w:t>Learner actively and safely controlled vehicle movements and managed vulnerable road users (pedestrians, cyclists, etc.) following organisational rules.</w:t>
            </w:r>
          </w:p>
        </w:tc>
        <w:tc>
          <w:tcPr>
            <w:tcW w:type="dxa" w:w="3969"/>
          </w:tcPr>
          <w:p>
            <w:r/>
          </w:p>
          <w:p/>
          <w:p/>
          <w:p/>
        </w:tc>
        <w:tc>
          <w:tcPr>
            <w:tcW w:type="dxa" w:w="1417"/>
          </w:tcPr>
          <w:p>
            <w:r/>
            <w:r>
              <w:t>☐ Met</w:t>
            </w:r>
          </w:p>
          <w:p>
            <w:r>
              <w:t>☐ Not Met</w:t>
            </w:r>
          </w:p>
        </w:tc>
      </w:tr>
    </w:tbl>
    <w:p/>
    <w:p>
      <w:r>
        <w:br w:type="page"/>
      </w:r>
    </w:p>
    <w:p>
      <w:pPr>
        <w:pStyle w:val="Heading1"/>
      </w:pPr>
      <w:r>
        <w:t>Part 3: Final Sign-Off &amp; Declaration</w:t>
      </w:r>
    </w:p>
    <w:p>
      <w:pPr>
        <w:pStyle w:val="Heading2"/>
      </w:pPr>
      <w:r>
        <w:t>Supervisor Declaration</w:t>
      </w:r>
    </w:p>
    <w:p>
      <w:r>
        <w:rPr>
          <w:b w:val="0"/>
          <w:i w:val="0"/>
          <w:sz w:val="22"/>
        </w:rPr>
        <w:t>I confirm that I am an appropriate supervisor/assessor, and that I have directly observed the learner performing the practical tasks above safely, competently, and in accordance with organisational requirements and the relevant Traffic Management Plan (TMP).</w:t>
      </w:r>
    </w:p>
    <w:p/>
    <w:p>
      <w:r>
        <w:rPr>
          <w:b/>
        </w:rPr>
        <w:t xml:space="preserve">Supervisor name: </w:t>
      </w:r>
      <w:r>
        <w:t>_____________________________________________</w:t>
      </w:r>
    </w:p>
    <w:p>
      <w:r>
        <w:rPr>
          <w:b/>
        </w:rPr>
        <w:t xml:space="preserve">Supervisor role / qualification: </w:t>
      </w:r>
      <w:r>
        <w:t>________________________________________</w:t>
      </w:r>
    </w:p>
    <w:p>
      <w:r>
        <w:rPr>
          <w:b/>
        </w:rPr>
        <w:t xml:space="preserve">Signature: </w:t>
      </w:r>
      <w:r>
        <w:t>______________________________</w:t>
      </w:r>
      <w:r>
        <w:t xml:space="preserve">          </w:t>
      </w:r>
      <w:r>
        <w:rPr>
          <w:b/>
        </w:rPr>
        <w:t xml:space="preserve">Date: </w:t>
      </w:r>
      <w:r>
        <w:t>____ / ____ / 2026</w:t>
      </w:r>
    </w:p>
    <w:p/>
    <w:p>
      <w:pPr>
        <w:pStyle w:val="Heading2"/>
      </w:pPr>
      <w:r>
        <w:t>Learner Declaration</w:t>
      </w:r>
    </w:p>
    <w:p>
      <w:r>
        <w:rPr>
          <w:b w:val="0"/>
          <w:i w:val="0"/>
          <w:sz w:val="22"/>
        </w:rPr>
        <w:t>I confirm that the work submitted in Part 1 is my own and that I have actively participated in the practical workplace tasks under appropriate supervision.</w:t>
      </w:r>
    </w:p>
    <w:p/>
    <w:p>
      <w:r>
        <w:rPr>
          <w:b/>
        </w:rPr>
        <w:t xml:space="preserve">Learner name: </w:t>
      </w:r>
      <w:r>
        <w:t>_____________________________________________</w:t>
      </w:r>
    </w:p>
    <w:p>
      <w:r>
        <w:rPr>
          <w:b/>
        </w:rPr>
        <w:t xml:space="preserve">Signature: </w:t>
      </w:r>
      <w:r>
        <w:t>______________________________</w:t>
      </w:r>
      <w:r>
        <w:t xml:space="preserve">          </w:t>
      </w:r>
      <w:r>
        <w:rPr>
          <w:b/>
        </w:rPr>
        <w:t xml:space="preserve">Date: </w:t>
      </w:r>
      <w:r>
        <w:t>____ / ____ / 2026</w:t>
      </w:r>
    </w:p>
    <w:p/>
    <w:p>
      <w:pPr>
        <w:pStyle w:val="Heading2"/>
      </w:pPr>
      <w:r>
        <w:t>Final Result for Standard 40233</w:t>
      </w:r>
    </w:p>
    <w:p>
      <w:r>
        <w:t xml:space="preserve">☐ </w:t>
      </w:r>
      <w:r>
        <w:t>Achieved</w:t>
      </w:r>
      <w:r>
        <w:t xml:space="preserve">      </w:t>
      </w:r>
      <w:r>
        <w:t xml:space="preserve">☐ </w:t>
      </w:r>
      <w:r>
        <w:t>Not Yet Achieved</w:t>
      </w:r>
    </w:p>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drawing>
        <wp:inline xmlns:a="http://schemas.openxmlformats.org/drawingml/2006/main" xmlns:pic="http://schemas.openxmlformats.org/drawingml/2006/picture">
          <wp:extent cx="936000" cy="321364"/>
          <wp:docPr id="1" name="Picture 1"/>
          <wp:cNvGraphicFramePr>
            <a:graphicFrameLocks noChangeAspect="1"/>
          </wp:cNvGraphicFramePr>
          <a:graphic>
            <a:graphicData uri="http://schemas.openxmlformats.org/drawingml/2006/picture">
              <pic:pic>
                <pic:nvPicPr>
                  <pic:cNvPr id="0" name="sela-logo.png"/>
                  <pic:cNvPicPr/>
                </pic:nvPicPr>
                <pic:blipFill>
                  <a:blip r:embed="rId1"/>
                  <a:stretch>
                    <a:fillRect/>
                  </a:stretch>
                </pic:blipFill>
                <pic:spPr>
                  <a:xfrm>
                    <a:off x="0" y="0"/>
                    <a:ext cx="936000" cy="321364"/>
                  </a:xfrm>
                  <a:prstGeom prst="rect"/>
                </pic:spPr>
              </pic:pic>
            </a:graphicData>
          </a:graphic>
        </wp:inline>
      </w:drawing>
    </w:r>
    <w:r>
      <w:br/>
    </w:r>
    <w:r>
      <w:rPr>
        <w:i/>
        <w:color w:val="606060"/>
        <w:sz w:val="16"/>
      </w:rPr>
      <w:t>Sela Civil Advisory Ltd  ·  NZBN 9429053816207  ·  105A Hetherington Road, Whangamata 3620, New Zealand  ·  40233 Practical Sign-Off &amp; Assessment Booklet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6054B09CB59584A9D8F41B8BE787909" ma:contentTypeVersion="11" ma:contentTypeDescription="Create a new document." ma:contentTypeScope="" ma:versionID="fa0d8c738f75b38f1b330d0f0cb9d1f6">
  <xsd:schema xmlns:xsd="http://www.w3.org/2001/XMLSchema" xmlns:xs="http://www.w3.org/2001/XMLSchema" xmlns:p="http://schemas.microsoft.com/office/2006/metadata/properties" xmlns:ns2="0acffdce-adac-413c-9a3e-9080760a63bc" xmlns:ns3="a1c818ed-66df-42af-902a-b023f163c61d" targetNamespace="http://schemas.microsoft.com/office/2006/metadata/properties" ma:root="true" ma:fieldsID="110646e5cec2e61f85e4cadd5b2968ec" ns2:_="" ns3:_="">
    <xsd:import namespace="0acffdce-adac-413c-9a3e-9080760a63bc"/>
    <xsd:import namespace="a1c818ed-66df-42af-902a-b023f163c6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ffdce-adac-413c-9a3e-9080760a6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8da112-f1aa-44dd-a717-fd96b478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c818ed-66df-42af-902a-b023f163c61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c30527-e846-4226-ac40-29893a4275ad}" ma:internalName="TaxCatchAll" ma:showField="CatchAllData" ma:web="a1c818ed-66df-42af-902a-b023f163c6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acffdce-adac-413c-9a3e-9080760a63bc">
      <Terms xmlns="http://schemas.microsoft.com/office/infopath/2007/PartnerControls"/>
    </lcf76f155ced4ddcb4097134ff3c332f>
    <TaxCatchAll xmlns="a1c818ed-66df-42af-902a-b023f163c61d"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7D6EFEE-ACAE-4E89-B8FC-C7399791FD90}"/>
</file>

<file path=customXml/itemProps3.xml><?xml version="1.0" encoding="utf-8"?>
<ds:datastoreItem xmlns:ds="http://schemas.openxmlformats.org/officeDocument/2006/customXml" ds:itemID="{459D7605-97F8-45B8-919D-B6E9EA3ECB2B}"/>
</file>

<file path=customXml/itemProps4.xml><?xml version="1.0" encoding="utf-8"?>
<ds:datastoreItem xmlns:ds="http://schemas.openxmlformats.org/officeDocument/2006/customXml" ds:itemID="{B6412562-AE43-4C11-87C8-F67F64F4DD0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0x010100E6054B09CB59584A9D8F41B8BE787909</vt:lpwstr>
  </property>
</Properties>
</file>