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2828"/>
          <w:sz w:val="44"/>
        </w:rPr>
        <w:t>INFORME DE AUDITORÍA GLOBAL Y HOJA DE RUTA</w:t>
      </w:r>
    </w:p>
    <w:p>
      <w:pPr>
        <w:jc w:val="center"/>
      </w:pPr>
      <w:r>
        <w:rPr>
          <w:rFonts w:ascii="Arial" w:hAnsi="Arial"/>
          <w:i/>
          <w:color w:val="0F2043"/>
          <w:sz w:val="26"/>
        </w:rPr>
        <w:t>Sistema de Trading de Opciones D+ARQ — Reconstrucción Institucional</w:t>
      </w:r>
    </w:p>
    <w:p>
      <w:pPr>
        <w:jc w:val="center"/>
      </w:pPr>
      <w:r>
        <w:rPr>
          <w:rFonts w:ascii="Arial" w:hAnsi="Arial"/>
          <w:color w:val="787878"/>
          <w:sz w:val="19"/>
        </w:rPr>
        <w:t>Auditoría de 3 Expertos | Estado: FASE 0 &amp; FASE 1 EJECUTADAS | Documento Permanente de Consulta</w:t>
      </w:r>
    </w:p>
    <w:p/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1. Veredicto del Equipo de Auditoría</w:t>
      </w:r>
    </w:p>
    <w:p>
      <w:pPr>
        <w:spacing w:after="80" w:line="276" w:lineRule="auto"/>
      </w:pPr>
      <w:r>
        <w:rPr>
          <w:rFonts w:ascii="Arial" w:hAnsi="Arial"/>
          <w:color w:val="282828"/>
          <w:sz w:val="21"/>
        </w:rPr>
        <w:t>El sistema anterior NO estaba listo para operar ni en cuenta real ni en Paper Trading. Las primas registradas eran estimaciones fijas Black-Scholes, los strikes no existían en las cadenas reales de IBKR y el broker tenía 0 posiciones registradas. Se ordenó la contención inmediata del bot y la reconstrucción desde el núcleo.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2. Diagnóstico de Hallazgos Críticos</w:t>
      </w:r>
    </w:p>
    <w:p>
      <w:pPr>
        <w:spacing w:before="200" w:after="80"/>
      </w:pPr>
      <w:r>
        <w:rPr>
          <w:rFonts w:ascii="Arial" w:hAnsi="Arial"/>
          <w:b/>
          <w:color w:val="B42828"/>
          <w:sz w:val="24"/>
        </w:rPr>
        <w:t>A. Motor de Ejecución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Fills Ficticios: </w:t>
      </w:r>
      <w:r>
        <w:rPr>
          <w:rFonts w:ascii="Arial" w:hAnsi="Arial"/>
          <w:color w:val="282828"/>
          <w:sz w:val="21"/>
        </w:rPr>
        <w:t>El bot guardaba el trade en el JSON local aunque la orden fallara. En simulación devolvía FILLED a $1.00 fijo.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Salidas no enviadas: </w:t>
      </w:r>
      <w:r>
        <w:rPr>
          <w:rFonts w:ascii="Arial" w:hAnsi="Arial"/>
          <w:color w:val="282828"/>
          <w:sz w:val="21"/>
        </w:rPr>
        <w:t>Take-Profit, Stop-Loss, Rolls y Desacoples solo editaban el JSON. Las posiciones cortas quedaban abiertas en IBKR para siempre.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Contratos Inválidos: </w:t>
      </w:r>
      <w:r>
        <w:rPr>
          <w:rFonts w:ascii="Arial" w:hAnsi="Arial"/>
          <w:color w:val="282828"/>
          <w:sz w:val="21"/>
        </w:rPr>
        <w:t>Strikes no redondeados a cadenas reales y vencimientos sin validar con reqSecDefOptParams ni qualifyContracts.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Ordenes a Mercado: </w:t>
      </w:r>
      <w:r>
        <w:rPr>
          <w:rFonts w:ascii="Arial" w:hAnsi="Arial"/>
          <w:color w:val="282828"/>
          <w:sz w:val="21"/>
        </w:rPr>
        <w:t>Uso de ordenes MKT en LEAPS de 25 lotes con riesgo de slippage masivo.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Precios $0.00 / NaN: </w:t>
      </w:r>
      <w:r>
        <w:rPr>
          <w:rFonts w:ascii="Arial" w:hAnsi="Arial"/>
          <w:color w:val="282828"/>
          <w:sz w:val="21"/>
        </w:rPr>
        <w:t>Cotizaciones con 15 min de retraso. Al recibir $0.00 de IBKR por falta de datos en vivo, calculaba pérdidas ficticias de -$74.000 USD.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RSI Falso: </w:t>
      </w:r>
      <w:r>
        <w:rPr>
          <w:rFonts w:ascii="Arial" w:hAnsi="Arial"/>
          <w:color w:val="282828"/>
          <w:sz w:val="21"/>
        </w:rPr>
        <w:t>Calculado como 50 + %cambio * 15 en lugar de velas históricas de 14 períodos.</w:t>
      </w:r>
    </w:p>
    <w:p>
      <w:pPr>
        <w:spacing w:before="200" w:after="80"/>
      </w:pPr>
      <w:r>
        <w:rPr>
          <w:rFonts w:ascii="Arial" w:hAnsi="Arial"/>
          <w:b/>
          <w:color w:val="B42828"/>
          <w:sz w:val="24"/>
        </w:rPr>
        <w:t>B. Hilos y Conexión Socket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Concurrencia HTTP: </w:t>
      </w:r>
      <w:r>
        <w:rPr>
          <w:rFonts w:ascii="Arial" w:hAnsi="Arial"/>
          <w:color w:val="282828"/>
          <w:sz w:val="21"/>
        </w:rPr>
        <w:t>Endpoints HTTP POST llamaban a ib_insync desde hilos secundarios del servidor web, causando escrituras concurrentes al socket y cierres silenciosos de asyncio.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Heartbeat Falso: </w:t>
      </w:r>
      <w:r>
        <w:rPr>
          <w:rFonts w:ascii="Arial" w:hAnsi="Arial"/>
          <w:color w:val="282828"/>
          <w:sz w:val="21"/>
        </w:rPr>
        <w:t>Watchdog verificaba serverVersion() estático en lugar de realizar reqCurrentTime() real.</w:t>
      </w:r>
    </w:p>
    <w:p>
      <w:pPr>
        <w:spacing w:before="200" w:after="80"/>
      </w:pPr>
      <w:r>
        <w:rPr>
          <w:rFonts w:ascii="Arial" w:hAnsi="Arial"/>
          <w:b/>
          <w:color w:val="B42828"/>
          <w:sz w:val="24"/>
        </w:rPr>
        <w:t>C. Estado y Datos Fantasma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Reinversión Fantasma: </w:t>
      </w:r>
      <w:r>
        <w:rPr>
          <w:rFonts w:ascii="Arial" w:hAnsi="Arial"/>
          <w:color w:val="282828"/>
          <w:sz w:val="21"/>
        </w:rPr>
        <w:t>Los $14.3M reinvertidos registrados salían de un bucle infinito en Alpha donde la señal daba True constantemente y 'desacoplaba' cada 1.5 min.</w:t>
      </w:r>
    </w:p>
    <w:p>
      <w:pPr>
        <w:spacing w:before="200" w:after="80"/>
      </w:pPr>
      <w:r>
        <w:rPr>
          <w:rFonts w:ascii="Arial" w:hAnsi="Arial"/>
          <w:b/>
          <w:color w:val="B42828"/>
          <w:sz w:val="24"/>
        </w:rPr>
        <w:t>D. Seguridad y Credenciales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Credenciales Expuestas: </w:t>
      </w:r>
      <w:r>
        <w:rPr>
          <w:rFonts w:ascii="Arial" w:hAnsi="Arial"/>
          <w:color w:val="282828"/>
          <w:sz w:val="21"/>
        </w:rPr>
        <w:t>Usuario y contraseña de IBKR expuestos en config.ini en Dropbox, token de GitHub en .github_token y servidor API sin autenticación en 0.0.0.0.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3. Plan de Reconstrucción Ejecutado (Fases 0, 1 y 2)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Fase 0 (Contención): </w:t>
      </w:r>
      <w:r>
        <w:rPr>
          <w:rFonts w:ascii="Arial" w:hAnsi="Arial"/>
          <w:color w:val="282828"/>
          <w:sz w:val="21"/>
        </w:rPr>
        <w:t>Bot detenido. Kill-Switch activado (TRADING_ENABLED: false). Todos los estados JSON fantasma reseteados a 0.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Fase 1 (Núcleo Institucional): </w:t>
      </w:r>
      <w:r>
        <w:rPr>
          <w:rFonts w:ascii="Arial" w:hAnsi="Arial"/>
          <w:color w:val="282828"/>
          <w:sz w:val="21"/>
        </w:rPr>
        <w:t>Creación del nuevo núcleo en core/ (clock.py, contracts.py, orders.py, ledger.py, risk.py, broker.py). Sin simulaciones ficticias.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1"/>
        </w:rPr>
        <w:t xml:space="preserve">Fase 2 (Configuración Modular): </w:t>
      </w:r>
      <w:r>
        <w:rPr>
          <w:rFonts w:ascii="Arial" w:hAnsi="Arial"/>
          <w:color w:val="282828"/>
          <w:sz w:val="21"/>
        </w:rPr>
        <w:t>Creación de config/strategies.yaml. Reconfiguración del Colateral 100% NAV (60% Treasuries directos 12/2027-12/2032, 20% VOO, 15% QQQ, 5% GLD).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