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043"/>
          <w:sz w:val="48"/>
        </w:rPr>
        <w:t>SISTEMA DE TRADING DE OPCIONES D+ARQ</w:t>
      </w:r>
    </w:p>
    <w:p>
      <w:pPr>
        <w:jc w:val="center"/>
      </w:pPr>
      <w:r>
        <w:rPr>
          <w:rFonts w:ascii="Arial" w:hAnsi="Arial"/>
          <w:i/>
          <w:color w:val="009688"/>
          <w:sz w:val="28"/>
        </w:rPr>
        <w:t>Propuesta Institucional de Arquitectura Multiclima (5 Capas + Portfolio Margin)</w:t>
      </w:r>
    </w:p>
    <w:p>
      <w:pPr>
        <w:jc w:val="center"/>
      </w:pPr>
      <w:r>
        <w:rPr>
          <w:rFonts w:ascii="Arial" w:hAnsi="Arial"/>
          <w:color w:val="787878"/>
          <w:sz w:val="20"/>
        </w:rPr>
        <w:t>Capital Base: $1.000.000 USD | Entorno: IBKR Portfolio Margin | Despliegue: Docker Ubuntu VM</w:t>
      </w:r>
    </w:p>
    <w:p/>
    <w:p>
      <w:pPr>
        <w:spacing w:before="360" w:after="120"/>
      </w:pPr>
      <w:r>
        <w:rPr>
          <w:rFonts w:ascii="Arial" w:hAnsi="Arial"/>
          <w:b/>
          <w:color w:val="0F2043"/>
          <w:sz w:val="32"/>
        </w:rPr>
        <w:t>1. Resumen Ejecutivo y Filosofía del Sistema</w:t>
      </w:r>
    </w:p>
    <w:p>
      <w:pPr>
        <w:spacing w:after="80" w:line="276" w:lineRule="auto"/>
      </w:pPr>
      <w:r>
        <w:rPr>
          <w:rFonts w:ascii="Arial" w:hAnsi="Arial"/>
          <w:color w:val="282828"/>
          <w:sz w:val="22"/>
        </w:rPr>
        <w:t>El Sistema de Opciones D+ARQ está diseñado para gestionar un portafolio institucional de $1.000.000 USD maximizando el retorno ajustado por riesgo (Sharpe Ratio) mediante un enfoque de Diversificación por Régimen de Mercado (Multi-Regime Trading).</w:t>
      </w:r>
    </w:p>
    <w:p>
      <w:pPr>
        <w:spacing w:after="80" w:line="276" w:lineRule="auto"/>
      </w:pPr>
      <w:r>
        <w:rPr>
          <w:rFonts w:ascii="Arial" w:hAnsi="Arial"/>
          <w:color w:val="282828"/>
          <w:sz w:val="22"/>
        </w:rPr>
        <w:t>El 100% del capital líquido se asigna a un Pool Unificado de Colateral Intocable (Treasuries + Renta Variable + Oro) que respalda las operaciones bajo Portfolio Margin de IBKR, permitiendo que 5 capas de opciones operen simultáneamente sobre el margen sin descapitalizar la cuenta.</w:t>
      </w:r>
    </w:p>
    <w:p>
      <w:pPr>
        <w:spacing w:before="360" w:after="120"/>
      </w:pPr>
      <w:r>
        <w:rPr>
          <w:rFonts w:ascii="Arial" w:hAnsi="Arial"/>
          <w:b/>
          <w:color w:val="0F2043"/>
          <w:sz w:val="32"/>
        </w:rPr>
        <w:t>2. Estructura del Portafolio de Colateral (100% NAV)</w:t>
      </w:r>
    </w:p>
    <w:p>
      <w:pPr>
        <w:spacing w:after="80" w:line="276" w:lineRule="auto"/>
      </w:pPr>
      <w:r>
        <w:rPr>
          <w:rFonts w:ascii="Arial" w:hAnsi="Arial"/>
          <w:color w:val="282828"/>
          <w:sz w:val="22"/>
        </w:rPr>
        <w:t>El colateral base es intocable: no se venden ni operan opciones en contra de estas tenencias. Todos los dividendos generados se reinvierten automáticamente de forma sistemática.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204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Activo / Instrumento</w:t>
            </w:r>
          </w:p>
        </w:tc>
        <w:tc>
          <w:tcPr>
            <w:tcW w:type="dxa" w:w="2340"/>
            <w:shd w:val="clear" w:color="auto" w:fill="0F204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% NAV</w:t>
            </w:r>
          </w:p>
        </w:tc>
        <w:tc>
          <w:tcPr>
            <w:tcW w:type="dxa" w:w="2340"/>
            <w:shd w:val="clear" w:color="auto" w:fill="0F204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Asignación ($)</w:t>
            </w:r>
          </w:p>
        </w:tc>
        <w:tc>
          <w:tcPr>
            <w:tcW w:type="dxa" w:w="2340"/>
            <w:shd w:val="clear" w:color="auto" w:fill="0F204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y Criterio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US Treasury Notes (Directos)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60%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$600,000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6 bonos escalonados a 10% c/u (12/2027 a 12/2032). Precio &lt; Par (&lt;100), Yield ~5.0% APY.</w:t>
            </w:r>
          </w:p>
        </w:tc>
      </w:tr>
      <w:tr>
        <w:tc>
          <w:tcPr>
            <w:tcW w:type="dxa" w:w="2340"/>
            <w:shd w:val="clear" w:color="auto" w:fill="F4F6F9"/>
          </w:tcPr>
          <w:p>
            <w:r>
              <w:rPr>
                <w:rFonts w:ascii="Arial" w:hAnsi="Arial"/>
                <w:sz w:val="19"/>
              </w:rPr>
              <w:t>VOO (Vanguard S&amp;P 500 ETF)</w:t>
            </w:r>
          </w:p>
        </w:tc>
        <w:tc>
          <w:tcPr>
            <w:tcW w:type="dxa" w:w="2340"/>
            <w:shd w:val="clear" w:color="auto" w:fill="F4F6F9"/>
          </w:tcPr>
          <w:p>
            <w:r>
              <w:rPr>
                <w:rFonts w:ascii="Arial" w:hAnsi="Arial"/>
                <w:sz w:val="19"/>
              </w:rPr>
              <w:t>20%</w:t>
            </w:r>
          </w:p>
        </w:tc>
        <w:tc>
          <w:tcPr>
            <w:tcW w:type="dxa" w:w="2340"/>
            <w:shd w:val="clear" w:color="auto" w:fill="F4F6F9"/>
          </w:tcPr>
          <w:p>
            <w:r>
              <w:rPr>
                <w:rFonts w:ascii="Arial" w:hAnsi="Arial"/>
                <w:sz w:val="19"/>
              </w:rPr>
              <w:t>$200,000</w:t>
            </w:r>
          </w:p>
        </w:tc>
        <w:tc>
          <w:tcPr>
            <w:tcW w:type="dxa" w:w="2340"/>
            <w:shd w:val="clear" w:color="auto" w:fill="F4F6F9"/>
          </w:tcPr>
          <w:p>
            <w:r>
              <w:rPr>
                <w:rFonts w:ascii="Arial" w:hAnsi="Arial"/>
                <w:sz w:val="19"/>
              </w:rPr>
              <w:t>Exposición núcleo al S&amp;P 500 sin opciones en contra.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QQQ (Invesco Nasdaq 100 ETF)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15%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$150,000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Exposición al sector tecnológico MegaCap.</w:t>
            </w:r>
          </w:p>
        </w:tc>
      </w:tr>
      <w:tr>
        <w:tc>
          <w:tcPr>
            <w:tcW w:type="dxa" w:w="2340"/>
            <w:shd w:val="clear" w:color="auto" w:fill="F4F6F9"/>
          </w:tcPr>
          <w:p>
            <w:r>
              <w:rPr>
                <w:rFonts w:ascii="Arial" w:hAnsi="Arial"/>
                <w:sz w:val="19"/>
              </w:rPr>
              <w:t>GLD (SPDR Gold Shares)</w:t>
            </w:r>
          </w:p>
        </w:tc>
        <w:tc>
          <w:tcPr>
            <w:tcW w:type="dxa" w:w="2340"/>
            <w:shd w:val="clear" w:color="auto" w:fill="F4F6F9"/>
          </w:tcPr>
          <w:p>
            <w:r>
              <w:rPr>
                <w:rFonts w:ascii="Arial" w:hAnsi="Arial"/>
                <w:sz w:val="19"/>
              </w:rPr>
              <w:t>5%</w:t>
            </w:r>
          </w:p>
        </w:tc>
        <w:tc>
          <w:tcPr>
            <w:tcW w:type="dxa" w:w="2340"/>
            <w:shd w:val="clear" w:color="auto" w:fill="F4F6F9"/>
          </w:tcPr>
          <w:p>
            <w:r>
              <w:rPr>
                <w:rFonts w:ascii="Arial" w:hAnsi="Arial"/>
                <w:sz w:val="19"/>
              </w:rPr>
              <w:t>$50,000</w:t>
            </w:r>
          </w:p>
        </w:tc>
        <w:tc>
          <w:tcPr>
            <w:tcW w:type="dxa" w:w="2340"/>
            <w:shd w:val="clear" w:color="auto" w:fill="F4F6F9"/>
          </w:tcPr>
          <w:p>
            <w:r>
              <w:rPr>
                <w:rFonts w:ascii="Arial" w:hAnsi="Arial"/>
                <w:sz w:val="19"/>
              </w:rPr>
              <w:t>Cobertura contra inflación y devaluación del USD.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0F2043"/>
          <w:sz w:val="32"/>
        </w:rPr>
        <w:t>3. Especificación Pormenorizada de las 5 Capas de Trading</w:t>
      </w:r>
    </w:p>
    <w:p>
      <w:pPr>
        <w:spacing w:before="240" w:after="80"/>
      </w:pPr>
      <w:r>
        <w:rPr>
          <w:rFonts w:ascii="Arial" w:hAnsi="Arial"/>
          <w:b/>
          <w:color w:val="009688"/>
          <w:sz w:val="26"/>
        </w:rPr>
        <w:t>Capa 1: La Rueda &amp; Reinversión Compuesta (Motor de Flujo Base)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Régimen de Mercado: </w:t>
      </w:r>
      <w:r>
        <w:rPr>
          <w:rFonts w:ascii="Arial" w:hAnsi="Arial"/>
          <w:color w:val="282828"/>
          <w:sz w:val="22"/>
        </w:rPr>
        <w:t>Mercado Lateral, Consolidación o Alcista Moderado.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Estrategia: </w:t>
      </w:r>
      <w:r>
        <w:rPr>
          <w:rFonts w:ascii="Arial" w:hAnsi="Arial"/>
          <w:color w:val="282828"/>
          <w:sz w:val="22"/>
        </w:rPr>
        <w:t>Venta de Cash-Secured Puts a 30-45 DTE en SPY, QQQ e IWM con Delta Δ 0.20 (~3.5% OTM).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Gestión de Salida: </w:t>
      </w:r>
      <w:r>
        <w:rPr>
          <w:rFonts w:ascii="Arial" w:hAnsi="Arial"/>
          <w:color w:val="282828"/>
          <w:sz w:val="22"/>
        </w:rPr>
        <w:t>Cierre anticipado al capturar el 80% de la prima. Si se asignan acciones, se venden Covered Calls a 14 DTE Δ 0.30.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Reinversión: </w:t>
      </w:r>
      <w:r>
        <w:rPr>
          <w:rFonts w:ascii="Arial" w:hAnsi="Arial"/>
          <w:color w:val="282828"/>
          <w:sz w:val="22"/>
        </w:rPr>
        <w:t>El 100% de las primas netas se reinvierten automáticamente en comprar más unidades de VOO/QQQ.</w:t>
      </w:r>
    </w:p>
    <w:p>
      <w:pPr>
        <w:spacing w:before="240" w:after="80"/>
      </w:pPr>
      <w:r>
        <w:rPr>
          <w:rFonts w:ascii="Arial" w:hAnsi="Arial"/>
          <w:b/>
          <w:color w:val="009688"/>
          <w:sz w:val="26"/>
        </w:rPr>
        <w:t>Capa 2: Alpha Trade (Sintéticos LEAPS + Desacople Automático)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Régimen de Mercado: </w:t>
      </w:r>
      <w:r>
        <w:rPr>
          <w:rFonts w:ascii="Arial" w:hAnsi="Arial"/>
          <w:color w:val="282828"/>
          <w:sz w:val="22"/>
        </w:rPr>
        <w:t>Tendencia Alcista Macro de Mediano/Largo Plazo (S&amp;P 500 / QQQ &gt; SMA-200).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Estrategia: </w:t>
      </w:r>
      <w:r>
        <w:rPr>
          <w:rFonts w:ascii="Arial" w:hAnsi="Arial"/>
          <w:color w:val="282828"/>
          <w:sz w:val="22"/>
        </w:rPr>
        <w:t>Combo atómico BAG (2 Short Puts OTM + 2 Long Calls ITM) a 60-180 DTE a costo cero.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Mecanismo de Desacople: </w:t>
      </w:r>
      <w:r>
        <w:rPr>
          <w:rFonts w:ascii="Arial" w:hAnsi="Arial"/>
          <w:color w:val="282828"/>
          <w:sz w:val="22"/>
        </w:rPr>
        <w:t>Al acumular utilidades de La Rueda, el bot recompra las 2 Short Puts mediante orden BUY LIMIT. Las 2 Long Calls quedan 100% Risk-Free corriendo gratis con potencial alcista ilimitado.</w:t>
      </w:r>
    </w:p>
    <w:p>
      <w:pPr>
        <w:spacing w:before="240" w:after="80"/>
      </w:pPr>
      <w:r>
        <w:rPr>
          <w:rFonts w:ascii="Arial" w:hAnsi="Arial"/>
          <w:b/>
          <w:color w:val="009688"/>
          <w:sz w:val="26"/>
        </w:rPr>
        <w:t>Capa 3: RSI Oportunista (Caza-Rebotes en Pánico / VIX High)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Régimen de Mercado: </w:t>
      </w:r>
      <w:r>
        <w:rPr>
          <w:rFonts w:ascii="Arial" w:hAnsi="Arial"/>
          <w:color w:val="282828"/>
          <w:sz w:val="22"/>
        </w:rPr>
        <w:t>Pánico Intradía / Disparo de Volatilidad Implícita (Intraday RSI &lt; 25 y Precio &lt; Cierre Previo).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Estrategia: </w:t>
      </w:r>
      <w:r>
        <w:rPr>
          <w:rFonts w:ascii="Arial" w:hAnsi="Arial"/>
          <w:color w:val="282828"/>
          <w:sz w:val="22"/>
        </w:rPr>
        <w:t>Venta de Short Puts muy OTM a 0-1 DTE sobre SPY, QQQ, DIA para capturar primas infladas por el VIX.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Gestión de Salida: </w:t>
      </w:r>
      <w:r>
        <w:rPr>
          <w:rFonts w:ascii="Arial" w:hAnsi="Arial"/>
          <w:color w:val="282828"/>
          <w:sz w:val="22"/>
        </w:rPr>
        <w:t>Take Profit al 95% o RSI &gt; 70. Time Stop de cierre obligatorio a las 15:55 EST.</w:t>
      </w:r>
    </w:p>
    <w:p>
      <w:pPr>
        <w:spacing w:before="240" w:after="80"/>
      </w:pPr>
      <w:r>
        <w:rPr>
          <w:rFonts w:ascii="Arial" w:hAnsi="Arial"/>
          <w:b/>
          <w:color w:val="009688"/>
          <w:sz w:val="26"/>
        </w:rPr>
        <w:t>Capa 4: Daytrading Momentum (Impulso Intradía)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Régimen de Mercado: </w:t>
      </w:r>
      <w:r>
        <w:rPr>
          <w:rFonts w:ascii="Arial" w:hAnsi="Arial"/>
          <w:color w:val="282828"/>
          <w:sz w:val="22"/>
        </w:rPr>
        <w:t>Ruptura de Rango de Apertura (ORB 15 min) en horario de alto volumen (10:00 - 14:00 EST).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Estrategia: </w:t>
      </w:r>
      <w:r>
        <w:rPr>
          <w:rFonts w:ascii="Arial" w:hAnsi="Arial"/>
          <w:color w:val="282828"/>
          <w:sz w:val="22"/>
        </w:rPr>
        <w:t>Operaciones de opciones a 1 DTE con Take Profit al 50%.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Roll Defensivo: </w:t>
      </w:r>
      <w:r>
        <w:rPr>
          <w:rFonts w:ascii="Arial" w:hAnsi="Arial"/>
          <w:color w:val="282828"/>
          <w:sz w:val="22"/>
        </w:rPr>
        <w:t>Si la posición está en pérdida a las 15:55 EST, se ejecuta un Roll Out defensivo a 30 DTE para evitar la asignación inmediata.</w:t>
      </w:r>
    </w:p>
    <w:p>
      <w:pPr>
        <w:spacing w:before="240" w:after="80"/>
      </w:pPr>
      <w:r>
        <w:rPr>
          <w:rFonts w:ascii="Arial" w:hAnsi="Arial"/>
          <w:b/>
          <w:color w:val="009688"/>
          <w:sz w:val="26"/>
        </w:rPr>
        <w:t>Capa 5: Bull Market PMCC (Poor Man’s Covered Call)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Régimen de Mercado: </w:t>
      </w:r>
      <w:r>
        <w:rPr>
          <w:rFonts w:ascii="Arial" w:hAnsi="Arial"/>
          <w:color w:val="282828"/>
          <w:sz w:val="22"/>
        </w:rPr>
        <w:t>Tendencia Alcista Confirmada en gráfico diario (EMA-20 &gt; EMA-50).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Estrategia: </w:t>
      </w:r>
      <w:r>
        <w:rPr>
          <w:rFonts w:ascii="Arial" w:hAnsi="Arial"/>
          <w:color w:val="282828"/>
          <w:sz w:val="22"/>
        </w:rPr>
        <w:t>Long Call ITM (60-90 DTE, Delta Δ 0.75-0.80) + Short Call OTM semanal (7-14 DTE, Delta Δ 0.20).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Extracción de Theta: </w:t>
      </w:r>
      <w:r>
        <w:rPr>
          <w:rFonts w:ascii="Arial" w:hAnsi="Arial"/>
          <w:color w:val="282828"/>
          <w:sz w:val="22"/>
        </w:rPr>
        <w:t>Auto-roleo semanal de la Short Call al capturar el 80% de beneficio o a &lt;= 2 DTE.</w:t>
      </w:r>
    </w:p>
    <w:p>
      <w:pPr>
        <w:spacing w:before="360" w:after="120"/>
      </w:pPr>
      <w:r>
        <w:rPr>
          <w:rFonts w:ascii="Arial" w:hAnsi="Arial"/>
          <w:b/>
          <w:color w:val="0F2043"/>
          <w:sz w:val="32"/>
        </w:rPr>
        <w:t>4. Reglas Transversales de Riesgo y Cúpula de Margen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Cúpula de Margen (Max Utilization): </w:t>
      </w:r>
      <w:r>
        <w:rPr>
          <w:rFonts w:ascii="Arial" w:hAnsi="Arial"/>
          <w:color w:val="282828"/>
          <w:sz w:val="22"/>
        </w:rPr>
        <w:t>Las 5 capas combinadas NUNCA pueden consumir más del 40% del liquidez disponible en IBKR (InitMarginReq). Se mantiene un 60% de colchón libre de liquidez para absorber crashes sin liquidación.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Circuit Breaker Intradía: </w:t>
      </w:r>
      <w:r>
        <w:rPr>
          <w:rFonts w:ascii="Arial" w:hAnsi="Arial"/>
          <w:color w:val="282828"/>
          <w:sz w:val="22"/>
        </w:rPr>
        <w:t>Si el S&amp;P 500 cae más de un -3.0% intradía o el Drawdown del portafolio supera el -2.0% diario, se congelan todas las órdenes de entrada. El sistema entra en modo 'Solo Gestión Defensiva'.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Ejecución Estricta LIMIT: </w:t>
      </w:r>
      <w:r>
        <w:rPr>
          <w:rFonts w:ascii="Arial" w:hAnsi="Arial"/>
          <w:color w:val="282828"/>
          <w:sz w:val="22"/>
        </w:rPr>
        <w:t>Prohibidas las órdenes a mercado (MKT) en opciones. Todas las órdenes salen a precio LIMIT a precio medio (Mid ± 1 tick) con timeout de 15 segundos y cancelación automática.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Reconciliación Atómica: </w:t>
      </w:r>
      <w:r>
        <w:rPr>
          <w:rFonts w:ascii="Arial" w:hAnsi="Arial"/>
          <w:color w:val="282828"/>
          <w:sz w:val="22"/>
        </w:rPr>
        <w:t>El broker IBKR es la fuente única de verdad (ib.positions() e ib.portfolio()). El libro mayor local utiliza escritura atómica (.tmp -&gt; replace) y reconciliación limpia.</w:t>
      </w:r>
    </w:p>
    <w:p>
      <w:pPr>
        <w:spacing w:before="360" w:after="120"/>
      </w:pPr>
      <w:r>
        <w:rPr>
          <w:rFonts w:ascii="Arial" w:hAnsi="Arial"/>
          <w:b/>
          <w:color w:val="0F2043"/>
          <w:sz w:val="32"/>
        </w:rPr>
        <w:t>5. Plan de Despliegue en VM Ubuntu (Docker + Docker Compose)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IBKR Gateway Headless: </w:t>
      </w:r>
      <w:r>
        <w:rPr>
          <w:rFonts w:ascii="Arial" w:hAnsi="Arial"/>
          <w:color w:val="282828"/>
          <w:sz w:val="22"/>
        </w:rPr>
        <w:t>Contenedor gnzsnz/ib-gateway:latest con display virtual (Xvfb) y reinicio diario automático a las 06:00 EST.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Bot DARQ Trading: </w:t>
      </w:r>
      <w:r>
        <w:rPr>
          <w:rFonts w:ascii="Arial" w:hAnsi="Arial"/>
          <w:color w:val="282828"/>
          <w:sz w:val="22"/>
        </w:rPr>
        <w:t>Contenedor Python 3.11-slim aislado, ejecutando el nuevo núcleo core/ (BrokerManager, ContractManager, OrderExecutionEngine, RiskGuardian, InstitutionalLedger).</w:t>
      </w:r>
    </w:p>
    <w:p>
      <w:pPr>
        <w:spacing w:after="80" w:line="276" w:lineRule="auto"/>
      </w:pPr>
      <w:r>
        <w:rPr>
          <w:rFonts w:ascii="Arial" w:hAnsi="Arial"/>
          <w:b/>
          <w:color w:val="0F2043"/>
          <w:sz w:val="22"/>
        </w:rPr>
        <w:t xml:space="preserve">Seguridad &amp; Red: </w:t>
      </w:r>
      <w:r>
        <w:rPr>
          <w:rFonts w:ascii="Arial" w:hAnsi="Arial"/>
          <w:color w:val="282828"/>
          <w:sz w:val="22"/>
        </w:rPr>
        <w:t>Credenciales almacenadas en archivo .env fuera de Git/Dropbox. Puerto 4002 accesible únicamente dentro de la red interna de Docker (127.0.0.1:4002). Dashboard accesible mediante puerto 10000.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