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F6E6E"/>
          <w:spacing w:val="20"/>
          <w:sz w:val="20"/>
          <w:szCs w:val="20"/>
        </w:rPr>
        <w:t xml:space="preserve">KERALTY  ×  ALKALMA</w:t>
      </w:r>
    </w:p>
    <w:p>
      <w:pPr>
        <w:pBdr>
          <w:bottom w:val="single" w:color="1F3864" w:sz="14" w:space="8"/>
        </w:pBdr>
        <w:spacing w:after="80"/>
        <w:jc w:val="center"/>
      </w:pPr>
      <w:r>
        <w:rPr>
          <w:rFonts w:ascii="Calibri" w:cs="Calibri" w:eastAsia="Calibri" w:hAnsi="Calibri"/>
          <w:b/>
          <w:bCs/>
          <w:color w:val="1F3864"/>
          <w:sz w:val="40"/>
          <w:szCs w:val="40"/>
        </w:rPr>
        <w:t xml:space="preserve">Clinical Governance Framework</w:t>
      </w:r>
    </w:p>
    <w:p>
      <w:pPr>
        <w:spacing w:after="200" w:before="100"/>
        <w:jc w:val="center"/>
      </w:pPr>
      <w:r>
        <w:rPr>
          <w:rFonts w:ascii="Calibri" w:cs="Calibri" w:eastAsia="Calibri" w:hAnsi="Calibri"/>
          <w:i/>
          <w:iCs/>
          <w:color w:val="595959"/>
          <w:sz w:val="19"/>
          <w:szCs w:val="19"/>
        </w:rPr>
        <w:t xml:space="preserve">Key Elements for Mental Health Centres in the UAE — Horizon &amp; BrightMinds</w:t>
      </w:r>
    </w:p>
    <w:p>
      <w:pPr>
        <w:spacing w:after="100" w:line="264"/>
      </w:pPr>
      <w:r>
        <w:rPr>
          <w:rFonts w:ascii="Calibri" w:cs="Calibri" w:eastAsia="Calibri" w:hAnsi="Calibri"/>
          <w:color w:val="262626"/>
          <w:sz w:val="20"/>
          <w:szCs w:val="20"/>
        </w:rPr>
        <w:t xml:space="preserve">This framework consolidates the key elements alkalma needs to assess, define and establish when building its Clinical Governance Framework for Mental Health Centres in the UAE (Horizon and BrightMinds). It is a practical development checklist, not a detailed clinical policy manual — each section below should be converted into owned policies, committees and trackers as implementation proceeds.</w:t>
      </w:r>
    </w:p>
    <w:p>
      <w:pPr>
        <w:pStyle w:val="Heading1"/>
        <w:pBdr>
          <w:bottom w:val="single" w:color="0F6E6E" w:sz="8" w:space="4"/>
        </w:pBdr>
        <w:spacing w:after="120" w:before="300"/>
      </w:pPr>
      <w:r>
        <w:rPr>
          <w:rFonts w:ascii="Calibri" w:cs="Calibri" w:eastAsia="Calibri" w:hAnsi="Calibri"/>
          <w:b/>
          <w:bCs/>
          <w:color w:val="1F3864"/>
          <w:sz w:val="26"/>
          <w:szCs w:val="26"/>
        </w:rPr>
        <w:t xml:space="preserve">1.  Regulatory &amp; Licensing Foundations</w:t>
      </w:r>
    </w:p>
    <w:p>
      <w:pPr>
        <w:pStyle w:val="ListParagraph"/>
        <w:numPr>
          <w:ilvl w:val="0"/>
          <w:numId w:val="2"/>
        </w:numPr>
        <w:spacing w:after="40" w:line="252"/>
      </w:pPr>
      <w:r>
        <w:rPr>
          <w:rFonts w:ascii="Calibri" w:cs="Calibri" w:eastAsia="Calibri" w:hAnsi="Calibri"/>
          <w:color w:val="262626"/>
          <w:sz w:val="20"/>
          <w:szCs w:val="20"/>
        </w:rPr>
        <w:t xml:space="preserve">Applicable regulator by emirate — DHA, DoH or MOHAP — and facility licensing requirements</w:t>
      </w:r>
    </w:p>
    <w:p>
      <w:pPr>
        <w:pStyle w:val="ListParagraph"/>
        <w:numPr>
          <w:ilvl w:val="0"/>
          <w:numId w:val="2"/>
        </w:numPr>
        <w:spacing w:after="40" w:line="252"/>
      </w:pPr>
      <w:r>
        <w:rPr>
          <w:rFonts w:ascii="Calibri" w:cs="Calibri" w:eastAsia="Calibri" w:hAnsi="Calibri"/>
          <w:color w:val="262626"/>
          <w:sz w:val="20"/>
          <w:szCs w:val="20"/>
        </w:rPr>
        <w:t xml:space="preserve">Professional licensing and scope-of-practice rules for each clinical role</w:t>
      </w:r>
    </w:p>
    <w:p>
      <w:pPr>
        <w:pStyle w:val="ListParagraph"/>
        <w:numPr>
          <w:ilvl w:val="0"/>
          <w:numId w:val="2"/>
        </w:numPr>
        <w:spacing w:after="40" w:line="252"/>
      </w:pPr>
      <w:r>
        <w:rPr>
          <w:rFonts w:ascii="Calibri" w:cs="Calibri" w:eastAsia="Calibri" w:hAnsi="Calibri"/>
          <w:color w:val="262626"/>
          <w:sz w:val="20"/>
          <w:szCs w:val="20"/>
        </w:rPr>
        <w:t xml:space="preserve">UAE mental health legislation and patient-rights requirements, incl. involuntary/emergency treatment provisions</w:t>
      </w:r>
    </w:p>
    <w:p>
      <w:pPr>
        <w:pStyle w:val="ListParagraph"/>
        <w:numPr>
          <w:ilvl w:val="0"/>
          <w:numId w:val="2"/>
        </w:numPr>
        <w:spacing w:after="40" w:line="252"/>
      </w:pPr>
      <w:r>
        <w:rPr>
          <w:rFonts w:ascii="Calibri" w:cs="Calibri" w:eastAsia="Calibri" w:hAnsi="Calibri"/>
          <w:color w:val="262626"/>
          <w:sz w:val="20"/>
          <w:szCs w:val="20"/>
        </w:rPr>
        <w:t xml:space="preserve">JAWDA quality indicators and mandatory regulatory reporting obligations, where applicable</w:t>
      </w:r>
    </w:p>
    <w:p>
      <w:pPr>
        <w:pStyle w:val="ListParagraph"/>
        <w:numPr>
          <w:ilvl w:val="0"/>
          <w:numId w:val="2"/>
        </w:numPr>
        <w:spacing w:after="40" w:line="252"/>
      </w:pPr>
      <w:r>
        <w:rPr>
          <w:rFonts w:ascii="Calibri" w:cs="Calibri" w:eastAsia="Calibri" w:hAnsi="Calibri"/>
          <w:color w:val="262626"/>
          <w:sz w:val="20"/>
          <w:szCs w:val="20"/>
        </w:rPr>
        <w:t xml:space="preserve">Health data privacy/confidentiality requirements and tele-mental-health regulations</w:t>
      </w:r>
    </w:p>
    <w:p>
      <w:pPr>
        <w:pStyle w:val="Heading1"/>
        <w:pBdr>
          <w:bottom w:val="single" w:color="0F6E6E" w:sz="8" w:space="4"/>
        </w:pBdr>
        <w:spacing w:after="120" w:before="300"/>
      </w:pPr>
      <w:r>
        <w:rPr>
          <w:rFonts w:ascii="Calibri" w:cs="Calibri" w:eastAsia="Calibri" w:hAnsi="Calibri"/>
          <w:b/>
          <w:bCs/>
          <w:color w:val="1F3864"/>
          <w:sz w:val="26"/>
          <w:szCs w:val="26"/>
        </w:rPr>
        <w:t xml:space="preserve">2.  Governance Structure &amp; Accountability</w:t>
      </w:r>
    </w:p>
    <w:p>
      <w:pPr>
        <w:pStyle w:val="ListParagraph"/>
        <w:numPr>
          <w:ilvl w:val="0"/>
          <w:numId w:val="2"/>
        </w:numPr>
        <w:spacing w:after="40" w:line="252"/>
      </w:pPr>
      <w:r>
        <w:rPr>
          <w:rFonts w:ascii="Calibri" w:cs="Calibri" w:eastAsia="Calibri" w:hAnsi="Calibri"/>
          <w:color w:val="262626"/>
          <w:sz w:val="20"/>
          <w:szCs w:val="20"/>
        </w:rPr>
        <w:t xml:space="preserve">Named accountable officer for clinical governance and a defined Medical/Clinical Director role</w:t>
      </w:r>
    </w:p>
    <w:p>
      <w:pPr>
        <w:pStyle w:val="ListParagraph"/>
        <w:numPr>
          <w:ilvl w:val="0"/>
          <w:numId w:val="2"/>
        </w:numPr>
        <w:spacing w:after="40" w:line="252"/>
      </w:pPr>
      <w:r>
        <w:rPr>
          <w:rFonts w:ascii="Calibri" w:cs="Calibri" w:eastAsia="Calibri" w:hAnsi="Calibri"/>
          <w:color w:val="262626"/>
          <w:sz w:val="20"/>
          <w:szCs w:val="20"/>
        </w:rPr>
        <w:t xml:space="preserve">Clinical Governance Committee with Terms of Reference, reporting into Keralty's regional PHM/quality function</w:t>
      </w:r>
    </w:p>
    <w:p>
      <w:pPr>
        <w:pStyle w:val="ListParagraph"/>
        <w:numPr>
          <w:ilvl w:val="0"/>
          <w:numId w:val="2"/>
        </w:numPr>
        <w:spacing w:after="40" w:line="252"/>
      </w:pPr>
      <w:r>
        <w:rPr>
          <w:rFonts w:ascii="Calibri" w:cs="Calibri" w:eastAsia="Calibri" w:hAnsi="Calibri"/>
          <w:color w:val="262626"/>
          <w:sz w:val="20"/>
          <w:szCs w:val="20"/>
        </w:rPr>
        <w:t xml:space="preserve">RACI / clear ownership for each governance domain; documented scheme of delegation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740"/>
      </w:tblGrid>
      <w:tr>
        <w:trPr>
          <w:tblHeader/>
        </w:trPr>
        <w:tc>
          <w:tcPr>
            <w:tcW w:type="dxa" w:w="34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Committee / Forum</w:t>
            </w:r>
          </w:p>
        </w:tc>
        <w:tc>
          <w:tcPr>
            <w:tcW w:type="dxa" w:w="24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Frequency</w:t>
            </w:r>
          </w:p>
        </w:tc>
        <w:tc>
          <w:tcPr>
            <w:tcW w:type="dxa" w:w="374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Core Remit</w:t>
            </w:r>
          </w:p>
        </w:tc>
      </w:tr>
      <w:tr>
        <w:tc>
          <w:tcPr>
            <w:tcW w:type="dxa" w:w="3400"/>
            <w:shd w:fill="F2F6FB"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Clinical Governance Committee</w:t>
            </w:r>
          </w:p>
        </w:tc>
        <w:tc>
          <w:tcPr>
            <w:tcW w:type="dxa" w:w="2400"/>
            <w:shd w:fill="F2F6FB"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Monthly</w:t>
            </w:r>
          </w:p>
        </w:tc>
        <w:tc>
          <w:tcPr>
            <w:tcW w:type="dxa" w:w="3740"/>
            <w:shd w:fill="F2F6FB"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Overall oversight of safety, quality and compliance</w:t>
            </w:r>
          </w:p>
        </w:tc>
      </w:tr>
      <w:tr>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Serious Incident / Mortality Review</w:t>
            </w:r>
          </w:p>
        </w:tc>
        <w:tc>
          <w:tcPr>
            <w:tcW w:type="dxa" w:w="2400"/>
            <w:shd w:fill="FFFFFF"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As triggered, min. quarterly</w:t>
            </w:r>
          </w:p>
        </w:tc>
        <w:tc>
          <w:tcPr>
            <w:tcW w:type="dxa" w:w="3740"/>
            <w:shd w:fill="FFFFFF"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Root-cause analysis and learning</w:t>
            </w:r>
          </w:p>
        </w:tc>
      </w:tr>
      <w:tr>
        <w:tc>
          <w:tcPr>
            <w:tcW w:type="dxa" w:w="3400"/>
            <w:shd w:fill="F2F6FB"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MDT Case Review</w:t>
            </w:r>
          </w:p>
        </w:tc>
        <w:tc>
          <w:tcPr>
            <w:tcW w:type="dxa" w:w="2400"/>
            <w:shd w:fill="F2F6FB"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Weekly</w:t>
            </w:r>
          </w:p>
        </w:tc>
        <w:tc>
          <w:tcPr>
            <w:tcW w:type="dxa" w:w="3740"/>
            <w:shd w:fill="F2F6FB"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Individual care planning and risk review</w:t>
            </w:r>
          </w:p>
        </w:tc>
      </w:tr>
      <w:tr>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Medicines &amp; Therapeutics</w:t>
            </w:r>
          </w:p>
        </w:tc>
        <w:tc>
          <w:tcPr>
            <w:tcW w:type="dxa" w:w="2400"/>
            <w:shd w:fill="FFFFFF"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Quarterly</w:t>
            </w:r>
          </w:p>
        </w:tc>
        <w:tc>
          <w:tcPr>
            <w:tcW w:type="dxa" w:w="3740"/>
            <w:shd w:fill="FFFFFF"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Formulary, prescribing safety, high-risk medications</w:t>
            </w:r>
          </w:p>
        </w:tc>
      </w:tr>
      <w:tr>
        <w:tc>
          <w:tcPr>
            <w:tcW w:type="dxa" w:w="3400"/>
            <w:shd w:fill="F2F6FB"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Complaints &amp; Patient Experience</w:t>
            </w:r>
          </w:p>
        </w:tc>
        <w:tc>
          <w:tcPr>
            <w:tcW w:type="dxa" w:w="2400"/>
            <w:shd w:fill="F2F6FB"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Monthly</w:t>
            </w:r>
          </w:p>
        </w:tc>
        <w:tc>
          <w:tcPr>
            <w:tcW w:type="dxa" w:w="3740"/>
            <w:shd w:fill="F2F6FB" w:val="clear"/>
            <w:tcMar>
              <w:top w:type="dxa" w:w="60"/>
              <w:left w:type="dxa" w:w="90"/>
              <w:bottom w:type="dxa" w:w="60"/>
              <w:right w:type="dxa" w:w="90"/>
            </w:tcMar>
            <w:vAlign w:val="center"/>
          </w:tcPr>
          <w:p>
            <w:r>
              <w:rPr>
                <w:rFonts w:ascii="Calibri" w:cs="Calibri" w:eastAsia="Calibri" w:hAnsi="Calibri"/>
                <w:b w:val="false"/>
                <w:bCs w:val="false"/>
                <w:color w:val="262626"/>
                <w:sz w:val="18"/>
                <w:szCs w:val="18"/>
              </w:rPr>
              <w:t xml:space="preserve">Feedback themes and service improvement</w:t>
            </w:r>
          </w:p>
        </w:tc>
      </w:tr>
    </w:tbl>
    <w:p>
      <w:pPr>
        <w:pStyle w:val="Heading1"/>
        <w:pBdr>
          <w:bottom w:val="single" w:color="0F6E6E" w:sz="8" w:space="4"/>
        </w:pBdr>
        <w:spacing w:after="120" w:before="300"/>
      </w:pPr>
      <w:r>
        <w:rPr>
          <w:rFonts w:ascii="Calibri" w:cs="Calibri" w:eastAsia="Calibri" w:hAnsi="Calibri"/>
          <w:b/>
          <w:bCs/>
          <w:color w:val="1F3864"/>
          <w:sz w:val="26"/>
          <w:szCs w:val="26"/>
        </w:rPr>
        <w:t xml:space="preserve">3.  Scope of Services &amp; Clinical Pathways</w:t>
      </w:r>
    </w:p>
    <w:p>
      <w:pPr>
        <w:pStyle w:val="ListParagraph"/>
        <w:numPr>
          <w:ilvl w:val="0"/>
          <w:numId w:val="2"/>
        </w:numPr>
        <w:spacing w:after="40" w:line="252"/>
      </w:pPr>
      <w:r>
        <w:rPr>
          <w:rFonts w:ascii="Calibri" w:cs="Calibri" w:eastAsia="Calibri" w:hAnsi="Calibri"/>
          <w:color w:val="262626"/>
          <w:sz w:val="20"/>
          <w:szCs w:val="20"/>
        </w:rPr>
        <w:t xml:space="preserve">Services, patient populations, age groups and acuity levels managed at each centre — and what sits outside scope</w:t>
      </w:r>
    </w:p>
    <w:p>
      <w:pPr>
        <w:pStyle w:val="ListParagraph"/>
        <w:numPr>
          <w:ilvl w:val="0"/>
          <w:numId w:val="2"/>
        </w:numPr>
        <w:spacing w:after="40" w:line="252"/>
      </w:pPr>
      <w:r>
        <w:rPr>
          <w:rFonts w:ascii="Calibri" w:cs="Calibri" w:eastAsia="Calibri" w:hAnsi="Calibri"/>
          <w:color w:val="262626"/>
          <w:sz w:val="20"/>
          <w:szCs w:val="20"/>
        </w:rPr>
        <w:t xml:space="preserve">In-person vs. virtual service delineation and referral pathways to higher levels of care</w:t>
      </w:r>
    </w:p>
    <w:p>
      <w:pPr>
        <w:pStyle w:val="ListParagraph"/>
        <w:numPr>
          <w:ilvl w:val="0"/>
          <w:numId w:val="2"/>
        </w:numPr>
        <w:spacing w:after="40" w:line="252"/>
      </w:pPr>
      <w:r>
        <w:rPr>
          <w:rFonts w:ascii="Calibri" w:cs="Calibri" w:eastAsia="Calibri" w:hAnsi="Calibri"/>
          <w:color w:val="262626"/>
          <w:sz w:val="20"/>
          <w:szCs w:val="20"/>
        </w:rPr>
        <w:t xml:space="preserve">Evidence-based treatment guidelines, individualised care plans, and condition-specific pathways</w:t>
      </w:r>
    </w:p>
    <w:p>
      <w:pPr>
        <w:pStyle w:val="ListParagraph"/>
        <w:numPr>
          <w:ilvl w:val="0"/>
          <w:numId w:val="2"/>
        </w:numPr>
        <w:spacing w:after="40" w:line="252"/>
      </w:pPr>
      <w:r>
        <w:rPr>
          <w:rFonts w:ascii="Calibri" w:cs="Calibri" w:eastAsia="Calibri" w:hAnsi="Calibri"/>
          <w:color w:val="262626"/>
          <w:sz w:val="20"/>
          <w:szCs w:val="20"/>
        </w:rPr>
        <w:t xml:space="preserve">Standard assessment/diagnostic requirements, review cadence, and discharge/follow-up criteria</w:t>
      </w:r>
    </w:p>
    <w:p>
      <w:pPr>
        <w:pStyle w:val="Heading1"/>
        <w:pBdr>
          <w:bottom w:val="single" w:color="0F6E6E" w:sz="8" w:space="4"/>
        </w:pBdr>
        <w:spacing w:after="120" w:before="300"/>
      </w:pPr>
      <w:r>
        <w:rPr>
          <w:rFonts w:ascii="Calibri" w:cs="Calibri" w:eastAsia="Calibri" w:hAnsi="Calibri"/>
          <w:b/>
          <w:bCs/>
          <w:color w:val="1F3864"/>
          <w:sz w:val="26"/>
          <w:szCs w:val="26"/>
        </w:rPr>
        <w:t xml:space="preserve">4.  Clinical Risk, Patient Safety &amp; Crisis Management</w:t>
      </w:r>
    </w:p>
    <w:p>
      <w:pPr>
        <w:pStyle w:val="ListParagraph"/>
        <w:numPr>
          <w:ilvl w:val="0"/>
          <w:numId w:val="2"/>
        </w:numPr>
        <w:spacing w:after="40" w:line="252"/>
      </w:pPr>
      <w:r>
        <w:rPr>
          <w:rFonts w:ascii="Calibri" w:cs="Calibri" w:eastAsia="Calibri" w:hAnsi="Calibri"/>
          <w:color w:val="262626"/>
          <w:sz w:val="20"/>
          <w:szCs w:val="20"/>
        </w:rPr>
        <w:t xml:space="preserve">Suicide and self-harm risk assessment and management; risk of harm to others</w:t>
      </w:r>
    </w:p>
    <w:p>
      <w:pPr>
        <w:pStyle w:val="ListParagraph"/>
        <w:numPr>
          <w:ilvl w:val="0"/>
          <w:numId w:val="2"/>
        </w:numPr>
        <w:spacing w:after="40" w:line="252"/>
      </w:pPr>
      <w:r>
        <w:rPr>
          <w:rFonts w:ascii="Calibri" w:cs="Calibri" w:eastAsia="Calibri" w:hAnsi="Calibri"/>
          <w:color w:val="262626"/>
          <w:sz w:val="20"/>
          <w:szCs w:val="20"/>
        </w:rPr>
        <w:t xml:space="preserve">Individualised safety/crisis plans; protocol for missed appointments by high-risk patients</w:t>
      </w:r>
    </w:p>
    <w:p>
      <w:pPr>
        <w:pStyle w:val="ListParagraph"/>
        <w:numPr>
          <w:ilvl w:val="0"/>
          <w:numId w:val="2"/>
        </w:numPr>
        <w:spacing w:after="40" w:line="252"/>
      </w:pPr>
      <w:r>
        <w:rPr>
          <w:rFonts w:ascii="Calibri" w:cs="Calibri" w:eastAsia="Calibri" w:hAnsi="Calibri"/>
          <w:color w:val="262626"/>
          <w:sz w:val="20"/>
          <w:szCs w:val="20"/>
        </w:rPr>
        <w:t xml:space="preserve">Emergency management: acute deterioration, psychosis, aggression, medical emergencies, ambulance activation, hospital transfer, after-hours cover, post-crisis follow-up</w:t>
      </w:r>
    </w:p>
    <w:p>
      <w:pPr>
        <w:pStyle w:val="ListParagraph"/>
        <w:numPr>
          <w:ilvl w:val="0"/>
          <w:numId w:val="2"/>
        </w:numPr>
        <w:spacing w:after="40" w:line="252"/>
      </w:pPr>
      <w:r>
        <w:rPr>
          <w:rFonts w:ascii="Calibri" w:cs="Calibri" w:eastAsia="Calibri" w:hAnsi="Calibri"/>
          <w:color w:val="262626"/>
          <w:sz w:val="20"/>
          <w:szCs w:val="20"/>
        </w:rPr>
        <w:t xml:space="preserve">Clinical risk register with escalation thresholds; incident classification, reporting, RCA and closure tracking; regulatory notification pathway</w:t>
      </w:r>
    </w:p>
    <w:p>
      <w:pPr>
        <w:pStyle w:val="Heading1"/>
        <w:pBdr>
          <w:bottom w:val="single" w:color="0F6E6E" w:sz="8" w:space="4"/>
        </w:pBdr>
        <w:spacing w:after="120" w:before="300"/>
      </w:pPr>
      <w:r>
        <w:rPr>
          <w:rFonts w:ascii="Calibri" w:cs="Calibri" w:eastAsia="Calibri" w:hAnsi="Calibri"/>
          <w:b/>
          <w:bCs/>
          <w:color w:val="1F3864"/>
          <w:sz w:val="26"/>
          <w:szCs w:val="26"/>
        </w:rPr>
        <w:t xml:space="preserve">5.  Medication Governance</w:t>
      </w:r>
    </w:p>
    <w:p>
      <w:pPr>
        <w:pStyle w:val="ListParagraph"/>
        <w:numPr>
          <w:ilvl w:val="0"/>
          <w:numId w:val="2"/>
        </w:numPr>
        <w:spacing w:after="40" w:line="252"/>
      </w:pPr>
      <w:r>
        <w:rPr>
          <w:rFonts w:ascii="Calibri" w:cs="Calibri" w:eastAsia="Calibri" w:hAnsi="Calibri"/>
          <w:color w:val="262626"/>
          <w:sz w:val="20"/>
          <w:szCs w:val="20"/>
        </w:rPr>
        <w:t xml:space="preserve">Prescribing standards, privileges, and psychotropic/controlled-medication monitoring</w:t>
      </w:r>
    </w:p>
    <w:p>
      <w:pPr>
        <w:pStyle w:val="ListParagraph"/>
        <w:numPr>
          <w:ilvl w:val="0"/>
          <w:numId w:val="2"/>
        </w:numPr>
        <w:spacing w:after="40" w:line="252"/>
      </w:pPr>
      <w:r>
        <w:rPr>
          <w:rFonts w:ascii="Calibri" w:cs="Calibri" w:eastAsia="Calibri" w:hAnsi="Calibri"/>
          <w:color w:val="262626"/>
          <w:sz w:val="20"/>
          <w:szCs w:val="20"/>
        </w:rPr>
        <w:t xml:space="preserve">Medication reconciliation at every care transition; polypharmacy and off-label prescribing oversight</w:t>
      </w:r>
    </w:p>
    <w:p>
      <w:pPr>
        <w:pStyle w:val="ListParagraph"/>
        <w:numPr>
          <w:ilvl w:val="0"/>
          <w:numId w:val="2"/>
        </w:numPr>
        <w:spacing w:after="40" w:line="252"/>
      </w:pPr>
      <w:r>
        <w:rPr>
          <w:rFonts w:ascii="Calibri" w:cs="Calibri" w:eastAsia="Calibri" w:hAnsi="Calibri"/>
          <w:color w:val="262626"/>
          <w:sz w:val="20"/>
          <w:szCs w:val="20"/>
        </w:rPr>
        <w:t xml:space="preserve">Required laboratory/physical-health monitoring; ADR and medication-error reporting; periodic prescribing audits</w:t>
      </w:r>
    </w:p>
    <w:p>
      <w:pPr>
        <w:pStyle w:val="Heading1"/>
        <w:pBdr>
          <w:bottom w:val="single" w:color="0F6E6E" w:sz="8" w:space="4"/>
        </w:pBdr>
        <w:spacing w:after="120" w:before="300"/>
      </w:pPr>
      <w:r>
        <w:rPr>
          <w:rFonts w:ascii="Calibri" w:cs="Calibri" w:eastAsia="Calibri" w:hAnsi="Calibri"/>
          <w:b/>
          <w:bCs/>
          <w:color w:val="1F3864"/>
          <w:sz w:val="26"/>
          <w:szCs w:val="26"/>
        </w:rPr>
        <w:t xml:space="preserve">6.  Consent, Capacity &amp; Patient Rights</w:t>
      </w:r>
    </w:p>
    <w:p>
      <w:pPr>
        <w:pStyle w:val="ListParagraph"/>
        <w:numPr>
          <w:ilvl w:val="0"/>
          <w:numId w:val="2"/>
        </w:numPr>
        <w:spacing w:after="40" w:line="252"/>
      </w:pPr>
      <w:r>
        <w:rPr>
          <w:rFonts w:ascii="Calibri" w:cs="Calibri" w:eastAsia="Calibri" w:hAnsi="Calibri"/>
          <w:color w:val="262626"/>
          <w:sz w:val="20"/>
          <w:szCs w:val="20"/>
        </w:rPr>
        <w:t xml:space="preserve">Informed consent for assessment/treatment and decision-making-capacity assessment</w:t>
      </w:r>
    </w:p>
    <w:p>
      <w:pPr>
        <w:pStyle w:val="ListParagraph"/>
        <w:numPr>
          <w:ilvl w:val="0"/>
          <w:numId w:val="2"/>
        </w:numPr>
        <w:spacing w:after="40" w:line="252"/>
      </w:pPr>
      <w:r>
        <w:rPr>
          <w:rFonts w:ascii="Calibri" w:cs="Calibri" w:eastAsia="Calibri" w:hAnsi="Calibri"/>
          <w:color w:val="262626"/>
          <w:sz w:val="20"/>
          <w:szCs w:val="20"/>
        </w:rPr>
        <w:t xml:space="preserve">Consent and assent for minors, and guardian/parent involvement</w:t>
      </w:r>
    </w:p>
    <w:p>
      <w:pPr>
        <w:pStyle w:val="ListParagraph"/>
        <w:numPr>
          <w:ilvl w:val="0"/>
          <w:numId w:val="2"/>
        </w:numPr>
        <w:spacing w:after="40" w:line="252"/>
      </w:pPr>
      <w:r>
        <w:rPr>
          <w:rFonts w:ascii="Calibri" w:cs="Calibri" w:eastAsia="Calibri" w:hAnsi="Calibri"/>
          <w:color w:val="262626"/>
          <w:sz w:val="20"/>
          <w:szCs w:val="20"/>
        </w:rPr>
        <w:t xml:space="preserve">Confidentiality, information-sharing rules with family/carers, patient access to records, and an ethics-escalation pathway for complex cases</w:t>
      </w:r>
    </w:p>
    <w:p>
      <w:pPr>
        <w:pStyle w:val="Heading1"/>
        <w:pBdr>
          <w:bottom w:val="single" w:color="0F6E6E" w:sz="8" w:space="4"/>
        </w:pBdr>
        <w:spacing w:after="120" w:before="300"/>
      </w:pPr>
      <w:r>
        <w:rPr>
          <w:rFonts w:ascii="Calibri" w:cs="Calibri" w:eastAsia="Calibri" w:hAnsi="Calibri"/>
          <w:b/>
          <w:bCs/>
          <w:color w:val="1F3864"/>
          <w:sz w:val="26"/>
          <w:szCs w:val="26"/>
        </w:rPr>
        <w:t xml:space="preserve">7.  Safeguarding</w:t>
      </w:r>
    </w:p>
    <w:p>
      <w:pPr>
        <w:pStyle w:val="ListParagraph"/>
        <w:numPr>
          <w:ilvl w:val="0"/>
          <w:numId w:val="2"/>
        </w:numPr>
        <w:spacing w:after="40" w:line="252"/>
      </w:pPr>
      <w:r>
        <w:rPr>
          <w:rFonts w:ascii="Calibri" w:cs="Calibri" w:eastAsia="Calibri" w:hAnsi="Calibri"/>
          <w:color w:val="262626"/>
          <w:sz w:val="20"/>
          <w:szCs w:val="20"/>
        </w:rPr>
        <w:t xml:space="preserve">Named safeguarding lead(s) for children and vulnerable adults</w:t>
      </w:r>
    </w:p>
    <w:p>
      <w:pPr>
        <w:pStyle w:val="ListParagraph"/>
        <w:numPr>
          <w:ilvl w:val="0"/>
          <w:numId w:val="2"/>
        </w:numPr>
        <w:spacing w:after="40" w:line="252"/>
      </w:pPr>
      <w:r>
        <w:rPr>
          <w:rFonts w:ascii="Calibri" w:cs="Calibri" w:eastAsia="Calibri" w:hAnsi="Calibri"/>
          <w:color w:val="262626"/>
          <w:sz w:val="20"/>
          <w:szCs w:val="20"/>
        </w:rPr>
        <w:t xml:space="preserve">Mandatory-reporting requirements and internal/external escalation pathways</w:t>
      </w:r>
    </w:p>
    <w:p>
      <w:pPr>
        <w:pStyle w:val="ListParagraph"/>
        <w:numPr>
          <w:ilvl w:val="0"/>
          <w:numId w:val="2"/>
        </w:numPr>
        <w:spacing w:after="40" w:line="252"/>
      </w:pPr>
      <w:r>
        <w:rPr>
          <w:rFonts w:ascii="Calibri" w:cs="Calibri" w:eastAsia="Calibri" w:hAnsi="Calibri"/>
          <w:color w:val="262626"/>
          <w:sz w:val="20"/>
          <w:szCs w:val="20"/>
        </w:rPr>
        <w:t xml:space="preserve">Protocols for abuse, neglect and domestic-violence disclosures, with documentation and case-review standards</w:t>
      </w:r>
    </w:p>
    <w:p>
      <w:pPr>
        <w:pStyle w:val="Heading1"/>
        <w:pBdr>
          <w:bottom w:val="single" w:color="0F6E6E" w:sz="8" w:space="4"/>
        </w:pBdr>
        <w:spacing w:after="120" w:before="300"/>
      </w:pPr>
      <w:r>
        <w:rPr>
          <w:rFonts w:ascii="Calibri" w:cs="Calibri" w:eastAsia="Calibri" w:hAnsi="Calibri"/>
          <w:b/>
          <w:bCs/>
          <w:color w:val="1F3864"/>
          <w:sz w:val="26"/>
          <w:szCs w:val="26"/>
        </w:rPr>
        <w:t xml:space="preserve">8.  Workforce &amp; Multidisciplinary Team Governance</w:t>
      </w:r>
    </w:p>
    <w:p>
      <w:pPr>
        <w:pStyle w:val="ListParagraph"/>
        <w:numPr>
          <w:ilvl w:val="0"/>
          <w:numId w:val="2"/>
        </w:numPr>
        <w:spacing w:after="40" w:line="252"/>
      </w:pPr>
      <w:r>
        <w:rPr>
          <w:rFonts w:ascii="Calibri" w:cs="Calibri" w:eastAsia="Calibri" w:hAnsi="Calibri"/>
          <w:color w:val="262626"/>
          <w:sz w:val="20"/>
          <w:szCs w:val="20"/>
        </w:rPr>
        <w:t xml:space="preserve">Credentialing, primary-source verification, privileging and role-specific scope of practice</w:t>
      </w:r>
    </w:p>
    <w:p>
      <w:pPr>
        <w:pStyle w:val="ListParagraph"/>
        <w:numPr>
          <w:ilvl w:val="0"/>
          <w:numId w:val="2"/>
        </w:numPr>
        <w:spacing w:after="40" w:line="252"/>
      </w:pPr>
      <w:r>
        <w:rPr>
          <w:rFonts w:ascii="Calibri" w:cs="Calibri" w:eastAsia="Calibri" w:hAnsi="Calibri"/>
          <w:color w:val="262626"/>
          <w:sz w:val="20"/>
          <w:szCs w:val="20"/>
        </w:rPr>
        <w:t xml:space="preserve">Mandatory training, clinical supervision and CPD tracking; performance/conduct review process</w:t>
      </w:r>
    </w:p>
    <w:p>
      <w:pPr>
        <w:pStyle w:val="ListParagraph"/>
        <w:numPr>
          <w:ilvl w:val="0"/>
          <w:numId w:val="2"/>
        </w:numPr>
        <w:spacing w:after="40" w:line="252"/>
      </w:pPr>
      <w:r>
        <w:rPr>
          <w:rFonts w:ascii="Calibri" w:cs="Calibri" w:eastAsia="Calibri" w:hAnsi="Calibri"/>
          <w:color w:val="262626"/>
          <w:sz w:val="20"/>
          <w:szCs w:val="20"/>
        </w:rPr>
        <w:t xml:space="preserve">MDT structure, quorum and meeting frequency; criteria for MDT review of high-risk/complex cases; documented accountability and escalation for clinical disagreement</w:t>
      </w:r>
    </w:p>
    <w:p>
      <w:pPr>
        <w:pStyle w:val="Heading1"/>
        <w:pBdr>
          <w:bottom w:val="single" w:color="0F6E6E" w:sz="8" w:space="4"/>
        </w:pBdr>
        <w:spacing w:after="120" w:before="300"/>
      </w:pPr>
      <w:r>
        <w:rPr>
          <w:rFonts w:ascii="Calibri" w:cs="Calibri" w:eastAsia="Calibri" w:hAnsi="Calibri"/>
          <w:b/>
          <w:bCs/>
          <w:color w:val="1F3864"/>
          <w:sz w:val="26"/>
          <w:szCs w:val="26"/>
        </w:rPr>
        <w:t xml:space="preserve">9.  Clinical Documentation</w:t>
      </w:r>
    </w:p>
    <w:p>
      <w:pPr>
        <w:pStyle w:val="ListParagraph"/>
        <w:numPr>
          <w:ilvl w:val="0"/>
          <w:numId w:val="2"/>
        </w:numPr>
        <w:spacing w:after="40" w:line="252"/>
      </w:pPr>
      <w:r>
        <w:rPr>
          <w:rFonts w:ascii="Calibri" w:cs="Calibri" w:eastAsia="Calibri" w:hAnsi="Calibri"/>
          <w:color w:val="262626"/>
          <w:sz w:val="20"/>
          <w:szCs w:val="20"/>
        </w:rPr>
        <w:t xml:space="preserve">Standard templates: assessment, risk assessment, formulation, treatment plan, progress notes, safety plan, MDT record, discharge summary</w:t>
      </w:r>
    </w:p>
    <w:p>
      <w:pPr>
        <w:pStyle w:val="ListParagraph"/>
        <w:numPr>
          <w:ilvl w:val="0"/>
          <w:numId w:val="2"/>
        </w:numPr>
        <w:spacing w:after="40" w:line="252"/>
      </w:pPr>
      <w:r>
        <w:rPr>
          <w:rFonts w:ascii="Calibri" w:cs="Calibri" w:eastAsia="Calibri" w:hAnsi="Calibri"/>
          <w:color w:val="262626"/>
          <w:sz w:val="20"/>
          <w:szCs w:val="20"/>
        </w:rPr>
        <w:t xml:space="preserve">Record-completion timelines and periodic clinical-record audits</w:t>
      </w:r>
    </w:p>
    <w:p>
      <w:pPr>
        <w:pStyle w:val="Heading1"/>
        <w:pBdr>
          <w:bottom w:val="single" w:color="0F6E6E" w:sz="8" w:space="4"/>
        </w:pBdr>
        <w:spacing w:after="120" w:before="300"/>
      </w:pPr>
      <w:r>
        <w:rPr>
          <w:rFonts w:ascii="Calibri" w:cs="Calibri" w:eastAsia="Calibri" w:hAnsi="Calibri"/>
          <w:b/>
          <w:bCs/>
          <w:color w:val="1F3864"/>
          <w:sz w:val="26"/>
          <w:szCs w:val="26"/>
        </w:rPr>
        <w:t xml:space="preserve">10.  Outcomes, Audit, Complaints &amp; Patient Experience</w:t>
      </w:r>
    </w:p>
    <w:p>
      <w:pPr>
        <w:pStyle w:val="ListParagraph"/>
        <w:numPr>
          <w:ilvl w:val="0"/>
          <w:numId w:val="2"/>
        </w:numPr>
        <w:spacing w:after="40" w:line="252"/>
      </w:pPr>
      <w:r>
        <w:rPr>
          <w:rFonts w:ascii="Calibri" w:cs="Calibri" w:eastAsia="Calibri" w:hAnsi="Calibri"/>
          <w:color w:val="262626"/>
          <w:sz w:val="20"/>
          <w:szCs w:val="20"/>
        </w:rPr>
        <w:t xml:space="preserve">Defined clinical outcomes by programme; validated tools (e.g. PHQ-9, GAD-7) and PROMs/PREMs</w:t>
      </w:r>
    </w:p>
    <w:p>
      <w:pPr>
        <w:pStyle w:val="ListParagraph"/>
        <w:numPr>
          <w:ilvl w:val="0"/>
          <w:numId w:val="2"/>
        </w:numPr>
        <w:spacing w:after="40" w:line="252"/>
      </w:pPr>
      <w:r>
        <w:rPr>
          <w:rFonts w:ascii="Calibri" w:cs="Calibri" w:eastAsia="Calibri" w:hAnsi="Calibri"/>
          <w:color w:val="262626"/>
          <w:sz w:val="20"/>
          <w:szCs w:val="20"/>
        </w:rPr>
        <w:t xml:space="preserve">Annual clinical audit plan — documentation, medication, suicide-risk/safety-plan, safeguarding and pathway-adherence audits, with corrective action and re-audit</w:t>
      </w:r>
    </w:p>
    <w:p>
      <w:pPr>
        <w:pStyle w:val="ListParagraph"/>
        <w:numPr>
          <w:ilvl w:val="0"/>
          <w:numId w:val="2"/>
        </w:numPr>
        <w:spacing w:after="40" w:line="252"/>
      </w:pPr>
      <w:r>
        <w:rPr>
          <w:rFonts w:ascii="Calibri" w:cs="Calibri" w:eastAsia="Calibri" w:hAnsi="Calibri"/>
          <w:color w:val="262626"/>
          <w:sz w:val="20"/>
          <w:szCs w:val="20"/>
        </w:rPr>
        <w:t xml:space="preserve">Complaints handling and escalation, patient/family feedback mechanisms, and learning fed back into quality improvement</w:t>
      </w:r>
    </w:p>
    <w:p>
      <w:pPr>
        <w:pStyle w:val="Heading1"/>
        <w:pBdr>
          <w:bottom w:val="single" w:color="0F6E6E" w:sz="8" w:space="4"/>
        </w:pBdr>
        <w:spacing w:after="120" w:before="300"/>
      </w:pPr>
      <w:r>
        <w:rPr>
          <w:rFonts w:ascii="Calibri" w:cs="Calibri" w:eastAsia="Calibri" w:hAnsi="Calibri"/>
          <w:b/>
          <w:bCs/>
          <w:color w:val="1F3864"/>
          <w:sz w:val="26"/>
          <w:szCs w:val="26"/>
        </w:rPr>
        <w:t xml:space="preserve">11.  Tele-Mental Health &amp; Information Governance</w:t>
      </w:r>
    </w:p>
    <w:p>
      <w:pPr>
        <w:pStyle w:val="ListParagraph"/>
        <w:numPr>
          <w:ilvl w:val="0"/>
          <w:numId w:val="2"/>
        </w:numPr>
        <w:spacing w:after="40" w:line="252"/>
      </w:pPr>
      <w:r>
        <w:rPr>
          <w:rFonts w:ascii="Calibri" w:cs="Calibri" w:eastAsia="Calibri" w:hAnsi="Calibri"/>
          <w:color w:val="262626"/>
          <w:sz w:val="20"/>
          <w:szCs w:val="20"/>
        </w:rPr>
        <w:t xml:space="preserve">Patient suitability/exclusion criteria, identity verification and location confirmation for virtual care; approved platforms and remote-prescribing rules</w:t>
      </w:r>
    </w:p>
    <w:p>
      <w:pPr>
        <w:pStyle w:val="ListParagraph"/>
        <w:numPr>
          <w:ilvl w:val="0"/>
          <w:numId w:val="2"/>
        </w:numPr>
        <w:spacing w:after="40" w:line="252"/>
      </w:pPr>
      <w:r>
        <w:rPr>
          <w:rFonts w:ascii="Calibri" w:cs="Calibri" w:eastAsia="Calibri" w:hAnsi="Calibri"/>
          <w:color w:val="262626"/>
          <w:sz w:val="20"/>
          <w:szCs w:val="20"/>
        </w:rPr>
        <w:t xml:space="preserve">Role-based record access, data retention, cybersecurity/breach management, and governance of digital/AI-enabled clinical tools</w:t>
      </w:r>
    </w:p>
    <w:p>
      <w:pPr>
        <w:pStyle w:val="Heading1"/>
        <w:pBdr>
          <w:bottom w:val="single" w:color="0F6E6E" w:sz="8" w:space="4"/>
        </w:pBdr>
        <w:spacing w:after="120" w:before="300"/>
      </w:pPr>
      <w:r>
        <w:rPr>
          <w:rFonts w:ascii="Calibri" w:cs="Calibri" w:eastAsia="Calibri" w:hAnsi="Calibri"/>
          <w:b/>
          <w:bCs/>
          <w:color w:val="1F3864"/>
          <w:sz w:val="26"/>
          <w:szCs w:val="26"/>
        </w:rPr>
        <w:t xml:space="preserve">12.  Policies, KPIs &amp; Governance Assurance</w:t>
      </w:r>
    </w:p>
    <w:p>
      <w:pPr>
        <w:pStyle w:val="ListParagraph"/>
        <w:numPr>
          <w:ilvl w:val="0"/>
          <w:numId w:val="2"/>
        </w:numPr>
        <w:spacing w:after="40" w:line="252"/>
      </w:pPr>
      <w:r>
        <w:rPr>
          <w:rFonts w:ascii="Calibri" w:cs="Calibri" w:eastAsia="Calibri" w:hAnsi="Calibri"/>
          <w:color w:val="262626"/>
          <w:sz w:val="20"/>
          <w:szCs w:val="20"/>
        </w:rPr>
        <w:t xml:space="preserve">Master Clinical Policy Register with owner, approval authority, effective/review dates, and regulatory mapping</w:t>
      </w:r>
    </w:p>
    <w:p>
      <w:pPr>
        <w:pStyle w:val="ListParagraph"/>
        <w:numPr>
          <w:ilvl w:val="0"/>
          <w:numId w:val="2"/>
        </w:numPr>
        <w:spacing w:after="40" w:line="252"/>
      </w:pPr>
      <w:r>
        <w:rPr>
          <w:rFonts w:ascii="Calibri" w:cs="Calibri" w:eastAsia="Calibri" w:hAnsi="Calibri"/>
          <w:color w:val="262626"/>
          <w:sz w:val="20"/>
          <w:szCs w:val="20"/>
        </w:rPr>
        <w:t xml:space="preserve">KPI set spanning patient safety, suicide/self-harm and medication-safety indicators, safeguarding, complaints/experience, clinical outcomes, access/waiting times, and compliance (documentation, audit, credentialing, training)</w:t>
      </w:r>
    </w:p>
    <w:p>
      <w:pPr>
        <w:pStyle w:val="ListParagraph"/>
        <w:numPr>
          <w:ilvl w:val="0"/>
          <w:numId w:val="2"/>
        </w:numPr>
        <w:spacing w:after="40" w:line="252"/>
      </w:pPr>
      <w:r>
        <w:rPr>
          <w:rFonts w:ascii="Calibri" w:cs="Calibri" w:eastAsia="Calibri" w:hAnsi="Calibri"/>
          <w:color w:val="262626"/>
          <w:sz w:val="20"/>
          <w:szCs w:val="20"/>
        </w:rPr>
        <w:t xml:space="preserve">Governance cadence: monthly centre-level review feeding an organisational Clinical Governance Committee, supported by a risk register, action tracker and annual policy-review cycle</w:t>
      </w:r>
    </w:p>
    <w:p>
      <w:pPr>
        <w:pStyle w:val="Heading1"/>
        <w:pBdr>
          <w:bottom w:val="single" w:color="0F6E6E" w:sz="8" w:space="4"/>
        </w:pBdr>
        <w:spacing w:after="120" w:before="300"/>
      </w:pPr>
      <w:r>
        <w:rPr>
          <w:rFonts w:ascii="Calibri" w:cs="Calibri" w:eastAsia="Calibri" w:hAnsi="Calibri"/>
          <w:b/>
          <w:bCs/>
          <w:color w:val="1F3864"/>
          <w:sz w:val="26"/>
          <w:szCs w:val="26"/>
        </w:rPr>
        <w:t xml:space="preserve">13.  Suggested Implementation Approach</w:t>
      </w:r>
    </w:p>
    <w:p>
      <w:pPr>
        <w:pStyle w:val="ListParagraph"/>
        <w:numPr>
          <w:ilvl w:val="0"/>
          <w:numId w:val="2"/>
        </w:numPr>
        <w:spacing w:after="40" w:line="252"/>
      </w:pPr>
      <w:r>
        <w:rPr>
          <w:rFonts w:ascii="Calibri" w:cs="Calibri" w:eastAsia="Calibri" w:hAnsi="Calibri"/>
          <w:color w:val="262626"/>
          <w:sz w:val="20"/>
          <w:szCs w:val="20"/>
        </w:rPr>
        <w:t xml:space="preserve">Baseline assessment against the sections above — what exists, what needs strengthening, what must be newly built</w:t>
      </w:r>
    </w:p>
    <w:p>
      <w:pPr>
        <w:pStyle w:val="ListParagraph"/>
        <w:numPr>
          <w:ilvl w:val="0"/>
          <w:numId w:val="2"/>
        </w:numPr>
        <w:spacing w:after="40" w:line="252"/>
      </w:pPr>
      <w:r>
        <w:rPr>
          <w:rFonts w:ascii="Calibri" w:cs="Calibri" w:eastAsia="Calibri" w:hAnsi="Calibri"/>
          <w:color w:val="262626"/>
          <w:sz w:val="20"/>
          <w:szCs w:val="20"/>
        </w:rPr>
        <w:t xml:space="preserve">Convert findings into a prioritised implementation plan with named owners and target dates</w:t>
      </w:r>
    </w:p>
    <w:p>
      <w:pPr>
        <w:pBdr>
          <w:left w:val="single" w:color="E8A33D" w:sz="16" w:space="6"/>
        </w:pBdr>
        <w:shd w:fill="FFF4E5" w:val="clear"/>
        <w:spacing w:after="140" w:before="60"/>
        <w:ind w:left="120"/>
      </w:pPr>
      <w:r>
        <w:rPr>
          <w:rFonts w:ascii="Calibri" w:cs="Calibri" w:eastAsia="Calibri" w:hAnsi="Calibri"/>
          <w:i/>
          <w:iCs/>
          <w:color w:val="594100"/>
          <w:sz w:val="19"/>
          <w:szCs w:val="19"/>
        </w:rPr>
        <w:t xml:space="preserve">Prioritise high-risk areas first: suicide/self-harm, safeguarding, emergency escalation, medication safety, consent/capacity, credentialing and incident management.</w:t>
      </w:r>
    </w:p>
    <w:sectPr>
      <w:headerReference w:type="default" r:id="rId7"/>
      <w:footerReference w:type="default" r:id="rId8"/>
      <w:pgSz w:w="12240" w:h="15840" w:orient="portrait"/>
      <w:pgMar w:top="1150" w:right="1250" w:bottom="11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Page </w:t>
    </w:r>
    <w:r>
      <w:rPr>
        <w:rFonts w:ascii="Calibri" w:cs="Calibri" w:eastAsia="Calibri" w:hAnsi="Calibri"/>
        <w:color w:val="8C8C8C"/>
        <w:sz w:val="16"/>
        <w:szCs w:val="16"/>
      </w:rPr>
      <w:fldChar w:fldCharType="begin"/>
      <w:instrText xml:space="preserve">PAGE</w:instrText>
      <w:fldChar w:fldCharType="separate"/>
      <w:fldChar w:fldCharType="end"/>
    </w:r>
    <w:r>
      <w:rPr>
        <w:rFonts w:ascii="Calibri" w:cs="Calibri" w:eastAsia="Calibri" w:hAnsi="Calibri"/>
        <w:color w:val="8C8C8C"/>
        <w:sz w:val="16"/>
        <w:szCs w:val="16"/>
      </w:rPr>
      <w:t xml:space="preserve"> of </w:t>
    </w:r>
    <w:r>
      <w:rPr>
        <w:rFonts w:ascii="Calibri" w:cs="Calibri" w:eastAsia="Calibri" w:hAnsi="Calibri"/>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C8C8C"/>
        <w:sz w:val="15"/>
        <w:szCs w:val="15"/>
      </w:rPr>
      <w:t xml:space="preserve">Clinical Governance Framework — alkalma Mental Health Centres (UAE)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40"/>
      </w:pPr>
      <w:rPr>
        <w:color w:val="0F6E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2026-09-09T10:41:21.515Z</dcterms:created>
  <dcterms:modified xsi:type="dcterms:W3CDTF">2026-09-09T10:41:21.515Z</dcterms:modified>
</cp:coreProperties>
</file>

<file path=docProps/custom.xml><?xml version="1.0" encoding="utf-8"?>
<Properties xmlns="http://schemas.openxmlformats.org/officeDocument/2006/custom-properties" xmlns:vt="http://schemas.openxmlformats.org/officeDocument/2006/docPropsVTypes"/>
</file>