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02.09.2025</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314159265363</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John Avalon Dirk</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01.13.2025</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NEGATIVE</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Typical risk of AD pathology detected</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Katelyn Johnson</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01.13.2025</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10.12.1992</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314159265363</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314159265375</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1111111111</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0,1</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0,1</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