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03.11.2025</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314159265363</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John Avalon Dirk</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01.13.2025</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NEGATIVE</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Typical risk of AD pathology detected</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0,1</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0,1</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