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r>
        <w:tc>
          <w:tcPr>
            <w:tcW w:type="dxa" w:w="10076"/>
          </w:tcPr>
          <w:p>
            <w:r>
              <w:rPr/>
              <w:t>Respuesta del equipo: Sí, y con anticipación. Los diez hitos de desarrollo (H0 a H9), planificados en la Guía 1.5 para las semanas 7 a 14, se cerraron entre el 30-08-2026 y el 03-09-2026, y las pruebas funcionales (semana 15) también quedaron listas. Lo que más facilitó fue tener la especificación funcional cerrada en la Fase 1: Pablo había reconocido en su reflexión de Fase 1 que tiende a ejecutar antes de analizar, y esta vez el análisis previo documentado evitó retrabajo. Lo que más dificultó fue cubrir cinco roles con dos personas, y rehacer los diagramas del DAS cuando notamos que la primera versión no respetaba la notación UML/BPMN.</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r>
        <w:tc>
          <w:tcPr>
            <w:tcW w:type="dxa" w:w="10076"/>
          </w:tcPr>
          <w:p>
            <w:r>
              <w:rPr/>
              <w:t>Respuesta del equipo: Repartimos los roles según las fortalezas declaradas en la Fase 1: Pablo (backend, arquitectura y gestión) como Jefe de Proyecto y Analista Programador, e Ignacio (bases de datos, interfaz y calidad) como DBA, QA y Diseñador, dejando trazado en cada commit y en la Matriz RACI bajo qué rol se hizo cada tarea. Los diagramas se rehicieron uno a uno con PlantUML y draw.io, aprobando cada versión antes de pasar al siguiente. Para lo que queda (pruebas con usuarios, manuales, capacitación y cierre) mantendremos la misma disciplina.</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r>
        <w:tc>
          <w:tcPr>
            <w:tcW w:type="dxa" w:w="10076"/>
          </w:tcPr>
          <w:p>
            <w:r>
              <w:rPr/>
              <w:t>Respuesta del equipo: Evaluamos el trabajo como sólido: el sistema implementa el 100% de los RF y RNF y cada regla RN-01 a RN-21 tiene su prueba. Pablo destaca haber equilibrado su velocidad de ejecución con una planificación formal de requerimientos, que era la competencia que se propuso fortalecer; Ignacio destaca el modelo de datos y la suite de pruebas, y haber podido cuestionar con criterio el código y los diagramas generados con apoyo de herramientas de IA en vez de aceptarlos a ciegas. A mejorar: documentar los ajustes en la Matriz de Control de Cambio el mismo día en que se deciden y revisar la notación de los diagramas antes de entregarlos.</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r>
        <w:tc>
          <w:tcPr>
            <w:tcW w:type="dxa" w:w="10076"/>
          </w:tcPr>
          <w:p>
            <w:r>
              <w:rPr/>
              <w:t>Respuesta del equipo: Nos queda la duda de cómo dimensionar las pruebas con usuarios sin un cliente externo: queremos preguntar al docente si basta con usuarios simulados que sigan el guion de demostración. También queremos validar con los pares si el nivel de detalle de la Matriz de Riesgo es el esperado, porque la gestión de riesgos es un área que Ignacio identificó como débil en la Fase 1.</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r>
        <w:tc>
          <w:tcPr>
            <w:tcW w:type="dxa" w:w="10076"/>
          </w:tcPr>
          <w:p>
            <w:r>
              <w:rPr/>
              <w:t>Respuesta del equipo: No es necesario redistribuir: la asignación de la Guía 1.5 y la Matriz RACI funcionó durante todo el desarrollo. Sí formalizamos las actividades que vienen: Ignacio liderará las pruebas con usuarios y los manuales; Pablo, la migración a producción, la demostración en vivo y el Acta de cierre; las capacitaciones serán de ambos.</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r>
        <w:tc>
          <w:tcPr>
            <w:tcW w:type="dxa" w:w="10076"/>
          </w:tcPr>
          <w:p>
            <w:r>
              <w:rPr/>
              <w:t>Respuesta del equipo: Evaluamos el trabajo como sólido: el sistema implementa el 100% de los RF y RNF y cada regla RN-01 a RN-21 tiene su prueba. Pablo destaca haber equilibrado su velocidad de ejecución con una planificación formal de requerimientos, que era la competencia que se propuso fortalecer; Ignacio destaca el modelo de datos y la suite de pruebas, y haber podido cuestionar con criterio el código y los diagramas generados con apoyo de herramientas de IA en vez de aceptarlos a ciegas. A mejorar: documentar los ajustes en la Matriz de Control de Cambio el mismo día en que se deciden y revisar la notación de los diagramas antes de entregarlos.</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