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ifybznfv3so"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color w:val="212529"/>
                <w:sz w:val="22"/>
                <w:szCs w:val="22"/>
                <w:rtl w:val="0"/>
              </w:rPr>
              <w:t xml:space="preserve">El equipo del SG-PSG está formado por Nicolás Olave, Cristóbal Soto y Antonio Venegas. El proyecto es el sistema de gestión del taller mecánico interno.</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b w:val="0"/>
                <w:bCs w:val="0"/>
                <w:color w:val="212529"/>
                <w:sz w:val="22"/>
                <w:szCs w:val="22"/>
                <w:rtl w:val="0"/>
              </w:rPr>
              <w:t xml:space="preserve">Hasta esta Fase 2 las actividades van cerrando en los plazos de la carta Gantt. Se completó la definición del proyecto: acta de constitución, planilla de requerimientos, ERS, casos de uso extendidos y matriz RACI. En diseño se elaboró el documento de arquitectura, el proceso de negocio TO-BE, el diccionario de datos, el modelo Firestore, la matriz de riesgos y los diagramas de casos de uso, clases, datos, secuencias y componentes.</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b w:val="0"/>
                <w:bCs w:val="0"/>
                <w:color w:val="212529"/>
                <w:sz w:val="22"/>
                <w:szCs w:val="22"/>
                <w:rtl w:val="0"/>
              </w:rPr>
              <w:t xml:space="preserve">El objetivo se mantiene: digitalizar la orden de trabajo, asociarla al vehículo y dejar trazabilidad y KPI. Respecto de una versión anterior del mismo proyecto se ajustó el alcance. El </w:t>
            </w:r>
            <w:r w:rsidDel="00000000" w:rsidR="00000000" w:rsidRPr="00000000">
              <w:rPr>
                <w:color w:val="212529"/>
                <w:rtl w:val="0"/>
              </w:rPr>
              <w:t xml:space="preserve">jefe de taller</w:t>
            </w:r>
            <w:r w:rsidDel="00000000" w:rsidR="00000000" w:rsidRPr="00000000">
              <w:rPr>
                <w:rFonts w:ascii="Calibri" w:cs="Calibri" w:eastAsia="Calibri" w:hAnsi="Calibri"/>
                <w:b w:val="0"/>
                <w:bCs w:val="0"/>
                <w:color w:val="212529"/>
                <w:sz w:val="22"/>
                <w:szCs w:val="22"/>
                <w:rtl w:val="0"/>
              </w:rPr>
              <w:t xml:space="preserve"> usa el sistema, el conductor no tiene login y firma la ficha en papel, y la bitácora queda registrada sin edición ni borrado. No se incluye inventario, ERP ni una API propia. La persistencia es Firebase.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0"/>
                <w:bCs w:val="0"/>
                <w:color w:val="212529"/>
                <w:sz w:val="22"/>
                <w:szCs w:val="22"/>
                <w:rtl w:val="0"/>
              </w:rPr>
              <w:t xml:space="preserve">No hay ajuste del objetivo general. Se precisa el alcance frente a la versión anterior: roles administrador, supervisor, técnico y usuario pendiente; seis estados de la orden de trabajo; bitácora solo de alta. Fuera de alcance quedan la aplicación del conductor, la bodega de repuestos y la facturación.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color w:val="212529"/>
                <w:sz w:val="22"/>
                <w:szCs w:val="22"/>
                <w:rtl w:val="0"/>
              </w:rPr>
              <w:t xml:space="preserve">Se mantiene el trabajo por entregable definido en la RACI. El ajuste metodológico es usar Firebase en lugar de una API con base relacional, que era el camino de la versión anterior. El modelo de datos es documental y el diccionario se usa como referencia común de nombres.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0"/>
                <w:bCs w:val="0"/>
                <w:color w:val="212529"/>
                <w:sz w:val="22"/>
                <w:szCs w:val="22"/>
                <w:rtl w:val="0"/>
              </w:rPr>
              <w:t xml:space="preserve">Evidencias de este avance, una por integrante:</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b w:val="0"/>
                <w:bCs w:val="0"/>
                <w:color w:val="212529"/>
                <w:sz w:val="22"/>
                <w:szCs w:val="22"/>
                <w:rtl w:val="0"/>
              </w:rPr>
              <w:t xml:space="preserve">Nicolás Olave: documento de arquitectura y diagramas de apoyo (casos de uso, clases, secuencias y componentes).</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Calibri" w:cs="Calibri" w:eastAsia="Calibri" w:hAnsi="Calibri"/>
                <w:b w:val="0"/>
                <w:bCs w:val="0"/>
                <w:color w:val="212529"/>
                <w:sz w:val="22"/>
                <w:szCs w:val="22"/>
                <w:rtl w:val="0"/>
              </w:rPr>
              <w:t xml:space="preserve">Cristóbal Soto: proceso de negocio TO-BE con los seis estados y casos de uso extendidos.</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b w:val="0"/>
                <w:bCs w:val="0"/>
                <w:color w:val="212529"/>
                <w:sz w:val="22"/>
                <w:szCs w:val="22"/>
                <w:rtl w:val="0"/>
              </w:rPr>
              <w:t xml:space="preserve">Antonio Venegas: diccionario de datos, modelo Firestore y matriz de riesgos.</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Calibri" w:cs="Calibri" w:eastAsia="Calibri" w:hAnsi="Calibri"/>
                <w:b w:val="0"/>
                <w:bCs w:val="0"/>
                <w:color w:val="212529"/>
                <w:sz w:val="22"/>
                <w:szCs w:val="22"/>
                <w:rtl w:val="0"/>
              </w:rPr>
              <w:t xml:space="preserve">En conjunto muestran que el diseño de la fase está cerrado y que los documentos de la versión anterior se ajustaron al alcance actual.</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30"/>
        <w:gridCol w:w="1110"/>
        <w:gridCol w:w="1230"/>
        <w:gridCol w:w="1020"/>
        <w:gridCol w:w="990"/>
        <w:gridCol w:w="1680"/>
        <w:gridCol w:w="1230"/>
        <w:gridCol w:w="1305"/>
        <w:tblGridChange w:id="0">
          <w:tblGrid>
            <w:gridCol w:w="1230"/>
            <w:gridCol w:w="1110"/>
            <w:gridCol w:w="1230"/>
            <w:gridCol w:w="1020"/>
            <w:gridCol w:w="990"/>
            <w:gridCol w:w="1680"/>
            <w:gridCol w:w="1230"/>
            <w:gridCol w:w="1305"/>
          </w:tblGrid>
        </w:tblGridChange>
      </w:tblGrid>
      <w:tr>
        <w:trPr>
          <w:cantSplit w:val="0"/>
          <w:trHeight w:val="415" w:hRule="atLeast"/>
          <w:tblHeader w:val="0"/>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500" w:hRule="atLeast"/>
          <w:tblHeader w:val="0"/>
        </w:trPr>
        <w:tc>
          <w:tcPr/>
          <w:p w:rsidR="00000000" w:rsidDel="00000000" w:rsidP="00000000" w:rsidRDefault="00000000" w:rsidRPr="00000000" w14:paraId="0000002E">
            <w:pPr>
              <w:jc w:val="both"/>
              <w:rPr>
                <w:b w:val="1"/>
                <w:bCs w:val="1"/>
                <w:sz w:val="16"/>
                <w:szCs w:val="16"/>
              </w:rPr>
            </w:pPr>
            <w:r w:rsidDel="00000000" w:rsidR="00000000" w:rsidRPr="00000000">
              <w:rPr>
                <w:rFonts w:ascii="Calibri" w:cs="Calibri" w:eastAsia="Calibri" w:hAnsi="Calibri"/>
                <w:b w:val="0"/>
                <w:bCs w:val="0"/>
                <w:color w:val="212529"/>
                <w:sz w:val="20"/>
                <w:szCs w:val="20"/>
                <w:rtl w:val="0"/>
              </w:rPr>
              <w:t xml:space="preserve">Requisitos</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0"/>
                <w:bCs w:val="0"/>
                <w:color w:val="212529"/>
                <w:sz w:val="20"/>
                <w:szCs w:val="20"/>
                <w:rtl w:val="0"/>
              </w:rPr>
              <w:t xml:space="preserve">Acta, planilla de requerimientos y ERS</w:t>
            </w:r>
            <w:r w:rsidDel="00000000" w:rsidR="00000000" w:rsidRPr="00000000">
              <w:rPr>
                <w:rtl w:val="0"/>
              </w:rPr>
            </w:r>
          </w:p>
        </w:tc>
        <w:tc>
          <w:tcPr/>
          <w:p w:rsidR="00000000" w:rsidDel="00000000" w:rsidP="00000000" w:rsidRDefault="00000000" w:rsidRPr="00000000" w14:paraId="00000030">
            <w:pPr>
              <w:jc w:val="both"/>
              <w:rPr>
                <w:b w:val="1"/>
                <w:bCs w:val="1"/>
                <w:sz w:val="16"/>
                <w:szCs w:val="16"/>
              </w:rPr>
            </w:pPr>
            <w:r w:rsidDel="00000000" w:rsidR="00000000" w:rsidRPr="00000000">
              <w:rPr>
                <w:rFonts w:ascii="Calibri" w:cs="Calibri" w:eastAsia="Calibri" w:hAnsi="Calibri"/>
                <w:b w:val="0"/>
                <w:bCs w:val="0"/>
                <w:color w:val="212529"/>
                <w:sz w:val="20"/>
                <w:szCs w:val="20"/>
                <w:rtl w:val="0"/>
              </w:rPr>
              <w:t xml:space="preserve">Plantillas de la asignatura, reuniones de equipo</w:t>
            </w:r>
            <w:r w:rsidDel="00000000" w:rsidR="00000000" w:rsidRPr="00000000">
              <w:rPr>
                <w:rtl w:val="0"/>
              </w:rPr>
            </w:r>
          </w:p>
        </w:tc>
        <w:tc>
          <w:tcPr/>
          <w:p w:rsidR="00000000" w:rsidDel="00000000" w:rsidP="00000000" w:rsidRDefault="00000000" w:rsidRPr="00000000" w14:paraId="00000031">
            <w:pPr>
              <w:jc w:val="both"/>
              <w:rPr>
                <w:b w:val="1"/>
                <w:bCs w:val="1"/>
                <w:sz w:val="16"/>
                <w:szCs w:val="16"/>
              </w:rPr>
            </w:pPr>
            <w:r w:rsidDel="00000000" w:rsidR="00000000" w:rsidRPr="00000000">
              <w:rPr>
                <w:rFonts w:ascii="Calibri" w:cs="Calibri" w:eastAsia="Calibri" w:hAnsi="Calibri"/>
                <w:b w:val="0"/>
                <w:bCs w:val="0"/>
                <w:color w:val="212529"/>
                <w:sz w:val="20"/>
                <w:szCs w:val="20"/>
                <w:rtl w:val="0"/>
              </w:rPr>
              <w:t xml:space="preserve">2 semanas</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0"/>
                <w:bCs w:val="0"/>
                <w:color w:val="212529"/>
                <w:sz w:val="20"/>
                <w:szCs w:val="20"/>
                <w:rtl w:val="0"/>
              </w:rPr>
              <w:t xml:space="preserve">Nicolás Olave</w:t>
            </w: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0"/>
                <w:bCs w:val="0"/>
                <w:color w:val="212529"/>
                <w:sz w:val="20"/>
                <w:szCs w:val="20"/>
                <w:rtl w:val="0"/>
              </w:rPr>
              <w:t xml:space="preserve">Base para el resto de los entregables.</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i w:val="1"/>
                <w:iCs w:val="1"/>
                <w:color w:val="c00000"/>
                <w:sz w:val="14"/>
                <w:szCs w:val="14"/>
              </w:rPr>
            </w:pPr>
            <w:r w:rsidDel="00000000" w:rsidR="00000000" w:rsidRPr="00000000">
              <w:rPr>
                <w:rFonts w:ascii="Calibri" w:cs="Calibri" w:eastAsia="Calibri" w:hAnsi="Calibri"/>
                <w:b w:val="0"/>
                <w:bCs w:val="0"/>
                <w:color w:val="212529"/>
                <w:sz w:val="20"/>
                <w:szCs w:val="20"/>
                <w:rtl w:val="0"/>
              </w:rPr>
              <w:t xml:space="preserve">Completado</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0"/>
                <w:bCs w:val="0"/>
                <w:color w:val="212529"/>
                <w:sz w:val="20"/>
                <w:szCs w:val="20"/>
                <w:rtl w:val="0"/>
              </w:rPr>
              <w:t xml:space="preserve">Se actualizó el alcance respecto de la versión anterior.</w:t>
            </w:r>
            <w:r w:rsidDel="00000000" w:rsidR="00000000" w:rsidRPr="00000000">
              <w:rPr>
                <w:rtl w:val="0"/>
              </w:rPr>
            </w:r>
          </w:p>
        </w:tc>
      </w:tr>
      <w:tr>
        <w:trPr>
          <w:cantSplit w:val="0"/>
          <w:tblHeader w:val="0"/>
        </w:trPr>
        <w:tc>
          <w:tcPr/>
          <w:p w:rsidR="00000000" w:rsidDel="00000000" w:rsidP="00000000" w:rsidRDefault="00000000" w:rsidRPr="00000000" w14:paraId="00000036">
            <w:pPr>
              <w:rPr>
                <w:sz w:val="20"/>
                <w:szCs w:val="20"/>
              </w:rPr>
            </w:pPr>
            <w:r w:rsidDel="00000000" w:rsidR="00000000" w:rsidRPr="00000000">
              <w:rPr>
                <w:rFonts w:ascii="Calibri" w:cs="Calibri" w:eastAsia="Calibri" w:hAnsi="Calibri"/>
                <w:b w:val="0"/>
                <w:bCs w:val="0"/>
                <w:color w:val="212529"/>
                <w:sz w:val="20"/>
                <w:szCs w:val="20"/>
                <w:rtl w:val="0"/>
              </w:rPr>
              <w:t xml:space="preserve">Requisitos</w:t>
            </w:r>
            <w:r w:rsidDel="00000000" w:rsidR="00000000" w:rsidRPr="00000000">
              <w:rPr>
                <w:rtl w:val="0"/>
              </w:rPr>
            </w:r>
          </w:p>
        </w:tc>
        <w:tc>
          <w:tcPr/>
          <w:p w:rsidR="00000000" w:rsidDel="00000000" w:rsidP="00000000" w:rsidRDefault="00000000" w:rsidRPr="00000000" w14:paraId="00000037">
            <w:pPr>
              <w:rPr>
                <w:sz w:val="20"/>
                <w:szCs w:val="20"/>
              </w:rPr>
            </w:pPr>
            <w:r w:rsidDel="00000000" w:rsidR="00000000" w:rsidRPr="00000000">
              <w:rPr>
                <w:rFonts w:ascii="Calibri" w:cs="Calibri" w:eastAsia="Calibri" w:hAnsi="Calibri"/>
                <w:b w:val="0"/>
                <w:bCs w:val="0"/>
                <w:color w:val="212529"/>
                <w:sz w:val="20"/>
                <w:szCs w:val="20"/>
                <w:rtl w:val="0"/>
              </w:rPr>
              <w:t xml:space="preserve">Casos de uso extendidos</w:t>
            </w:r>
            <w:r w:rsidDel="00000000" w:rsidR="00000000" w:rsidRPr="00000000">
              <w:rPr>
                <w:rtl w:val="0"/>
              </w:rPr>
            </w:r>
          </w:p>
        </w:tc>
        <w:tc>
          <w:tcPr/>
          <w:p w:rsidR="00000000" w:rsidDel="00000000" w:rsidP="00000000" w:rsidRDefault="00000000" w:rsidRPr="00000000" w14:paraId="00000038">
            <w:pPr>
              <w:rPr>
                <w:sz w:val="20"/>
                <w:szCs w:val="20"/>
              </w:rPr>
            </w:pPr>
            <w:r w:rsidDel="00000000" w:rsidR="00000000" w:rsidRPr="00000000">
              <w:rPr>
                <w:rFonts w:ascii="Calibri" w:cs="Calibri" w:eastAsia="Calibri" w:hAnsi="Calibri"/>
                <w:b w:val="0"/>
                <w:bCs w:val="0"/>
                <w:color w:val="212529"/>
                <w:sz w:val="20"/>
                <w:szCs w:val="20"/>
                <w:rtl w:val="0"/>
              </w:rPr>
              <w:t xml:space="preserve">ERS, planilla de requerimientos</w:t>
            </w:r>
            <w:r w:rsidDel="00000000" w:rsidR="00000000" w:rsidRPr="00000000">
              <w:rPr>
                <w:rtl w:val="0"/>
              </w:rPr>
            </w:r>
          </w:p>
        </w:tc>
        <w:tc>
          <w:tcPr/>
          <w:p w:rsidR="00000000" w:rsidDel="00000000" w:rsidP="00000000" w:rsidRDefault="00000000" w:rsidRPr="00000000" w14:paraId="00000039">
            <w:pPr>
              <w:rPr>
                <w:sz w:val="20"/>
                <w:szCs w:val="20"/>
              </w:rPr>
            </w:pPr>
            <w:r w:rsidDel="00000000" w:rsidR="00000000" w:rsidRPr="00000000">
              <w:rPr>
                <w:rFonts w:ascii="Calibri" w:cs="Calibri" w:eastAsia="Calibri" w:hAnsi="Calibri"/>
                <w:b w:val="0"/>
                <w:bCs w:val="0"/>
                <w:color w:val="212529"/>
                <w:sz w:val="20"/>
                <w:szCs w:val="20"/>
                <w:rtl w:val="0"/>
              </w:rPr>
              <w:t xml:space="preserve">2 semanas</w:t>
            </w:r>
            <w:r w:rsidDel="00000000" w:rsidR="00000000" w:rsidRPr="00000000">
              <w:rPr>
                <w:rtl w:val="0"/>
              </w:rPr>
            </w:r>
          </w:p>
        </w:tc>
        <w:tc>
          <w:tcPr/>
          <w:p w:rsidR="00000000" w:rsidDel="00000000" w:rsidP="00000000" w:rsidRDefault="00000000" w:rsidRPr="00000000" w14:paraId="0000003A">
            <w:pPr>
              <w:rPr>
                <w:sz w:val="20"/>
                <w:szCs w:val="20"/>
              </w:rPr>
            </w:pPr>
            <w:r w:rsidDel="00000000" w:rsidR="00000000" w:rsidRPr="00000000">
              <w:rPr>
                <w:rFonts w:ascii="Calibri" w:cs="Calibri" w:eastAsia="Calibri" w:hAnsi="Calibri"/>
                <w:b w:val="0"/>
                <w:bCs w:val="0"/>
                <w:color w:val="212529"/>
                <w:sz w:val="20"/>
                <w:szCs w:val="20"/>
                <w:rtl w:val="0"/>
              </w:rPr>
              <w:t xml:space="preserve">Cristóbal Soto</w:t>
            </w:r>
            <w:r w:rsidDel="00000000" w:rsidR="00000000" w:rsidRPr="00000000">
              <w:rPr>
                <w:rtl w:val="0"/>
              </w:rPr>
            </w:r>
          </w:p>
        </w:tc>
        <w:tc>
          <w:tcPr/>
          <w:p w:rsidR="00000000" w:rsidDel="00000000" w:rsidP="00000000" w:rsidRDefault="00000000" w:rsidRPr="00000000" w14:paraId="0000003B">
            <w:pPr>
              <w:rPr>
                <w:sz w:val="20"/>
                <w:szCs w:val="20"/>
              </w:rPr>
            </w:pPr>
            <w:r w:rsidDel="00000000" w:rsidR="00000000" w:rsidRPr="00000000">
              <w:rPr>
                <w:rFonts w:ascii="Calibri" w:cs="Calibri" w:eastAsia="Calibri" w:hAnsi="Calibri"/>
                <w:b w:val="0"/>
                <w:bCs w:val="0"/>
                <w:color w:val="212529"/>
                <w:sz w:val="20"/>
                <w:szCs w:val="20"/>
                <w:rtl w:val="0"/>
              </w:rPr>
              <w:t xml:space="preserve">La numeración de la versión anterior no servía para esta fase.</w:t>
            </w:r>
            <w:r w:rsidDel="00000000" w:rsidR="00000000" w:rsidRPr="00000000">
              <w:rPr>
                <w:rtl w:val="0"/>
              </w:rPr>
            </w:r>
          </w:p>
        </w:tc>
        <w:tc>
          <w:tcPr/>
          <w:p w:rsidR="00000000" w:rsidDel="00000000" w:rsidP="00000000" w:rsidRDefault="00000000" w:rsidRPr="00000000" w14:paraId="0000003C">
            <w:pPr>
              <w:rPr>
                <w:sz w:val="20"/>
                <w:szCs w:val="20"/>
              </w:rPr>
            </w:pPr>
            <w:r w:rsidDel="00000000" w:rsidR="00000000" w:rsidRPr="00000000">
              <w:rPr>
                <w:rFonts w:ascii="Calibri" w:cs="Calibri" w:eastAsia="Calibri" w:hAnsi="Calibri"/>
                <w:b w:val="0"/>
                <w:bCs w:val="0"/>
                <w:color w:val="212529"/>
                <w:sz w:val="20"/>
                <w:szCs w:val="20"/>
                <w:rtl w:val="0"/>
              </w:rPr>
              <w:t xml:space="preserve">Completado</w:t>
            </w:r>
            <w:r w:rsidDel="00000000" w:rsidR="00000000" w:rsidRPr="00000000">
              <w:rPr>
                <w:rtl w:val="0"/>
              </w:rPr>
            </w:r>
          </w:p>
        </w:tc>
        <w:tc>
          <w:tcPr/>
          <w:p w:rsidR="00000000" w:rsidDel="00000000" w:rsidP="00000000" w:rsidRDefault="00000000" w:rsidRPr="00000000" w14:paraId="0000003D">
            <w:pPr>
              <w:rPr>
                <w:sz w:val="20"/>
                <w:szCs w:val="20"/>
              </w:rPr>
            </w:pPr>
            <w:r w:rsidDel="00000000" w:rsidR="00000000" w:rsidRPr="00000000">
              <w:rPr>
                <w:rFonts w:ascii="Calibri" w:cs="Calibri" w:eastAsia="Calibri" w:hAnsi="Calibri"/>
                <w:b w:val="0"/>
                <w:bCs w:val="0"/>
                <w:color w:val="212529"/>
                <w:sz w:val="20"/>
                <w:szCs w:val="20"/>
                <w:rtl w:val="0"/>
              </w:rPr>
              <w:t xml:space="preserve">Se usa la numeración CU001–CU019.</w:t>
            </w:r>
            <w:r w:rsidDel="00000000" w:rsidR="00000000" w:rsidRPr="00000000">
              <w:rPr>
                <w:rtl w:val="0"/>
              </w:rPr>
            </w:r>
          </w:p>
        </w:tc>
      </w:tr>
      <w:tr>
        <w:trPr>
          <w:cantSplit w:val="0"/>
          <w:trHeight w:val="1387.3421223958328" w:hRule="atLeast"/>
          <w:tblHeader w:val="0"/>
        </w:trPr>
        <w:tc>
          <w:tcPr/>
          <w:p w:rsidR="00000000" w:rsidDel="00000000" w:rsidP="00000000" w:rsidRDefault="00000000" w:rsidRPr="00000000" w14:paraId="0000003E">
            <w:pPr>
              <w:rPr>
                <w:sz w:val="20"/>
                <w:szCs w:val="20"/>
              </w:rPr>
            </w:pPr>
            <w:r w:rsidDel="00000000" w:rsidR="00000000" w:rsidRPr="00000000">
              <w:rPr>
                <w:rFonts w:ascii="Calibri" w:cs="Calibri" w:eastAsia="Calibri" w:hAnsi="Calibri"/>
                <w:b w:val="0"/>
                <w:bCs w:val="0"/>
                <w:color w:val="212529"/>
                <w:sz w:val="20"/>
                <w:szCs w:val="20"/>
                <w:rtl w:val="0"/>
              </w:rPr>
              <w:t xml:space="preserve">Proceso de negocio</w:t>
            </w:r>
            <w:r w:rsidDel="00000000" w:rsidR="00000000" w:rsidRPr="00000000">
              <w:rPr>
                <w:rtl w:val="0"/>
              </w:rPr>
            </w:r>
          </w:p>
        </w:tc>
        <w:tc>
          <w:tcPr/>
          <w:p w:rsidR="00000000" w:rsidDel="00000000" w:rsidP="00000000" w:rsidRDefault="00000000" w:rsidRPr="00000000" w14:paraId="0000003F">
            <w:pPr>
              <w:rPr>
                <w:sz w:val="20"/>
                <w:szCs w:val="20"/>
              </w:rPr>
            </w:pPr>
            <w:r w:rsidDel="00000000" w:rsidR="00000000" w:rsidRPr="00000000">
              <w:rPr>
                <w:rFonts w:ascii="Calibri" w:cs="Calibri" w:eastAsia="Calibri" w:hAnsi="Calibri"/>
                <w:b w:val="0"/>
                <w:bCs w:val="0"/>
                <w:color w:val="212529"/>
                <w:sz w:val="20"/>
                <w:szCs w:val="20"/>
                <w:rtl w:val="0"/>
              </w:rPr>
              <w:t xml:space="preserve">BPMN TO-BE</w:t>
            </w:r>
            <w:r w:rsidDel="00000000" w:rsidR="00000000" w:rsidRPr="00000000">
              <w:rPr>
                <w:rtl w:val="0"/>
              </w:rPr>
            </w:r>
          </w:p>
        </w:tc>
        <w:tc>
          <w:tcPr/>
          <w:p w:rsidR="00000000" w:rsidDel="00000000" w:rsidP="00000000" w:rsidRDefault="00000000" w:rsidRPr="00000000" w14:paraId="00000040">
            <w:pPr>
              <w:rPr>
                <w:sz w:val="20"/>
                <w:szCs w:val="20"/>
              </w:rPr>
            </w:pPr>
            <w:r w:rsidDel="00000000" w:rsidR="00000000" w:rsidRPr="00000000">
              <w:rPr>
                <w:rFonts w:ascii="Calibri" w:cs="Calibri" w:eastAsia="Calibri" w:hAnsi="Calibri"/>
                <w:b w:val="0"/>
                <w:bCs w:val="0"/>
                <w:color w:val="212529"/>
                <w:sz w:val="20"/>
                <w:szCs w:val="20"/>
                <w:rtl w:val="0"/>
              </w:rPr>
              <w:t xml:space="preserve">Bizagi, casos de uso</w:t>
            </w:r>
            <w:r w:rsidDel="00000000" w:rsidR="00000000" w:rsidRPr="00000000">
              <w:rPr>
                <w:rtl w:val="0"/>
              </w:rPr>
            </w:r>
          </w:p>
        </w:tc>
        <w:tc>
          <w:tcPr/>
          <w:p w:rsidR="00000000" w:rsidDel="00000000" w:rsidP="00000000" w:rsidRDefault="00000000" w:rsidRPr="00000000" w14:paraId="00000041">
            <w:pPr>
              <w:rPr>
                <w:sz w:val="20"/>
                <w:szCs w:val="20"/>
              </w:rPr>
            </w:pPr>
            <w:r w:rsidDel="00000000" w:rsidR="00000000" w:rsidRPr="00000000">
              <w:rPr>
                <w:rFonts w:ascii="Calibri" w:cs="Calibri" w:eastAsia="Calibri" w:hAnsi="Calibri"/>
                <w:b w:val="0"/>
                <w:bCs w:val="0"/>
                <w:color w:val="212529"/>
                <w:sz w:val="20"/>
                <w:szCs w:val="20"/>
                <w:rtl w:val="0"/>
              </w:rPr>
              <w:t xml:space="preserve">2 semanas</w:t>
            </w:r>
            <w:r w:rsidDel="00000000" w:rsidR="00000000" w:rsidRPr="00000000">
              <w:rPr>
                <w:rtl w:val="0"/>
              </w:rPr>
            </w:r>
          </w:p>
        </w:tc>
        <w:tc>
          <w:tcPr/>
          <w:p w:rsidR="00000000" w:rsidDel="00000000" w:rsidP="00000000" w:rsidRDefault="00000000" w:rsidRPr="00000000" w14:paraId="00000042">
            <w:pPr>
              <w:rPr>
                <w:sz w:val="20"/>
                <w:szCs w:val="20"/>
              </w:rPr>
            </w:pPr>
            <w:r w:rsidDel="00000000" w:rsidR="00000000" w:rsidRPr="00000000">
              <w:rPr>
                <w:rFonts w:ascii="Calibri" w:cs="Calibri" w:eastAsia="Calibri" w:hAnsi="Calibri"/>
                <w:b w:val="0"/>
                <w:bCs w:val="0"/>
                <w:color w:val="212529"/>
                <w:sz w:val="20"/>
                <w:szCs w:val="20"/>
                <w:rtl w:val="0"/>
              </w:rPr>
              <w:t xml:space="preserve">Cristóbal Soto</w:t>
            </w:r>
            <w:r w:rsidDel="00000000" w:rsidR="00000000" w:rsidRPr="00000000">
              <w:rPr>
                <w:rtl w:val="0"/>
              </w:rPr>
            </w:r>
          </w:p>
        </w:tc>
        <w:tc>
          <w:tcPr/>
          <w:p w:rsidR="00000000" w:rsidDel="00000000" w:rsidP="00000000" w:rsidRDefault="00000000" w:rsidRPr="00000000" w14:paraId="00000043">
            <w:pPr>
              <w:rPr>
                <w:sz w:val="20"/>
                <w:szCs w:val="20"/>
              </w:rPr>
            </w:pPr>
            <w:r w:rsidDel="00000000" w:rsidR="00000000" w:rsidRPr="00000000">
              <w:rPr>
                <w:rFonts w:ascii="Calibri" w:cs="Calibri" w:eastAsia="Calibri" w:hAnsi="Calibri"/>
                <w:b w:val="0"/>
                <w:bCs w:val="0"/>
                <w:color w:val="212529"/>
                <w:sz w:val="20"/>
                <w:szCs w:val="20"/>
                <w:rtl w:val="0"/>
              </w:rPr>
              <w:t xml:space="preserve">La versión anterior no mostraba el ciclo de estados.</w:t>
            </w:r>
            <w:r w:rsidDel="00000000" w:rsidR="00000000" w:rsidRPr="00000000">
              <w:rPr>
                <w:rtl w:val="0"/>
              </w:rPr>
            </w:r>
          </w:p>
        </w:tc>
        <w:tc>
          <w:tcPr/>
          <w:p w:rsidR="00000000" w:rsidDel="00000000" w:rsidP="00000000" w:rsidRDefault="00000000" w:rsidRPr="00000000" w14:paraId="00000044">
            <w:pPr>
              <w:rPr>
                <w:sz w:val="20"/>
                <w:szCs w:val="20"/>
              </w:rPr>
            </w:pPr>
            <w:r w:rsidDel="00000000" w:rsidR="00000000" w:rsidRPr="00000000">
              <w:rPr>
                <w:rFonts w:ascii="Calibri" w:cs="Calibri" w:eastAsia="Calibri" w:hAnsi="Calibri"/>
                <w:b w:val="0"/>
                <w:bCs w:val="0"/>
                <w:color w:val="212529"/>
                <w:sz w:val="20"/>
                <w:szCs w:val="20"/>
                <w:rtl w:val="0"/>
              </w:rPr>
              <w:t xml:space="preserve">Ajustada</w:t>
            </w:r>
            <w:r w:rsidDel="00000000" w:rsidR="00000000" w:rsidRPr="00000000">
              <w:rPr>
                <w:rtl w:val="0"/>
              </w:rPr>
            </w:r>
          </w:p>
        </w:tc>
        <w:tc>
          <w:tcPr/>
          <w:p w:rsidR="00000000" w:rsidDel="00000000" w:rsidP="00000000" w:rsidRDefault="00000000" w:rsidRPr="00000000" w14:paraId="00000045">
            <w:pPr>
              <w:rPr>
                <w:sz w:val="20"/>
                <w:szCs w:val="20"/>
              </w:rPr>
            </w:pPr>
            <w:r w:rsidDel="00000000" w:rsidR="00000000" w:rsidRPr="00000000">
              <w:rPr>
                <w:rFonts w:ascii="Calibri" w:cs="Calibri" w:eastAsia="Calibri" w:hAnsi="Calibri"/>
                <w:b w:val="0"/>
                <w:bCs w:val="0"/>
                <w:color w:val="212529"/>
                <w:sz w:val="20"/>
                <w:szCs w:val="20"/>
                <w:rtl w:val="0"/>
              </w:rPr>
              <w:t xml:space="preserve">Se dejó el flujo de los seis estados y la vuelta por repuesto.</w:t>
            </w:r>
            <w:r w:rsidDel="00000000" w:rsidR="00000000" w:rsidRPr="00000000">
              <w:rPr>
                <w:rtl w:val="0"/>
              </w:rPr>
            </w:r>
          </w:p>
        </w:tc>
      </w:tr>
      <w:tr>
        <w:trPr>
          <w:cantSplit w:val="0"/>
          <w:trHeight w:val="1809.2789713541663" w:hRule="atLeast"/>
          <w:tblHeader w:val="0"/>
        </w:trPr>
        <w:tc>
          <w:tcPr/>
          <w:p w:rsidR="00000000" w:rsidDel="00000000" w:rsidP="00000000" w:rsidRDefault="00000000" w:rsidRPr="00000000" w14:paraId="00000046">
            <w:pPr>
              <w:rPr>
                <w:sz w:val="20"/>
                <w:szCs w:val="20"/>
              </w:rPr>
            </w:pPr>
            <w:r w:rsidDel="00000000" w:rsidR="00000000" w:rsidRPr="00000000">
              <w:rPr>
                <w:rFonts w:ascii="Calibri" w:cs="Calibri" w:eastAsia="Calibri" w:hAnsi="Calibri"/>
                <w:b w:val="0"/>
                <w:bCs w:val="0"/>
                <w:color w:val="212529"/>
                <w:sz w:val="20"/>
                <w:szCs w:val="20"/>
                <w:rtl w:val="0"/>
              </w:rPr>
              <w:t xml:space="preserve">Arquitectura</w:t>
            </w:r>
            <w:r w:rsidDel="00000000" w:rsidR="00000000" w:rsidRPr="00000000">
              <w:rPr>
                <w:rtl w:val="0"/>
              </w:rPr>
            </w:r>
          </w:p>
        </w:tc>
        <w:tc>
          <w:tcPr/>
          <w:p w:rsidR="00000000" w:rsidDel="00000000" w:rsidP="00000000" w:rsidRDefault="00000000" w:rsidRPr="00000000" w14:paraId="00000047">
            <w:pPr>
              <w:rPr>
                <w:sz w:val="20"/>
                <w:szCs w:val="20"/>
              </w:rPr>
            </w:pPr>
            <w:r w:rsidDel="00000000" w:rsidR="00000000" w:rsidRPr="00000000">
              <w:rPr>
                <w:rFonts w:ascii="Calibri" w:cs="Calibri" w:eastAsia="Calibri" w:hAnsi="Calibri"/>
                <w:b w:val="0"/>
                <w:bCs w:val="0"/>
                <w:color w:val="212529"/>
                <w:sz w:val="20"/>
                <w:szCs w:val="20"/>
                <w:rtl w:val="0"/>
              </w:rPr>
              <w:t xml:space="preserve">Documento de arquitectura y diagramas</w:t>
            </w:r>
            <w:r w:rsidDel="00000000" w:rsidR="00000000" w:rsidRPr="00000000">
              <w:rPr>
                <w:rtl w:val="0"/>
              </w:rPr>
            </w:r>
          </w:p>
        </w:tc>
        <w:tc>
          <w:tcPr/>
          <w:p w:rsidR="00000000" w:rsidDel="00000000" w:rsidP="00000000" w:rsidRDefault="00000000" w:rsidRPr="00000000" w14:paraId="00000048">
            <w:pPr>
              <w:rPr>
                <w:sz w:val="20"/>
                <w:szCs w:val="20"/>
              </w:rPr>
            </w:pPr>
            <w:r w:rsidDel="00000000" w:rsidR="00000000" w:rsidRPr="00000000">
              <w:rPr>
                <w:rFonts w:ascii="Calibri" w:cs="Calibri" w:eastAsia="Calibri" w:hAnsi="Calibri"/>
                <w:b w:val="0"/>
                <w:bCs w:val="0"/>
                <w:color w:val="212529"/>
                <w:sz w:val="20"/>
                <w:szCs w:val="20"/>
                <w:rtl w:val="0"/>
              </w:rPr>
              <w:t xml:space="preserve">ERS, diccionario, plantilla DAS</w:t>
            </w:r>
            <w:r w:rsidDel="00000000" w:rsidR="00000000" w:rsidRPr="00000000">
              <w:rPr>
                <w:rtl w:val="0"/>
              </w:rPr>
            </w:r>
          </w:p>
        </w:tc>
        <w:tc>
          <w:tcPr/>
          <w:p w:rsidR="00000000" w:rsidDel="00000000" w:rsidP="00000000" w:rsidRDefault="00000000" w:rsidRPr="00000000" w14:paraId="00000049">
            <w:pPr>
              <w:rPr>
                <w:sz w:val="20"/>
                <w:szCs w:val="20"/>
              </w:rPr>
            </w:pPr>
            <w:r w:rsidDel="00000000" w:rsidR="00000000" w:rsidRPr="00000000">
              <w:rPr>
                <w:rFonts w:ascii="Calibri" w:cs="Calibri" w:eastAsia="Calibri" w:hAnsi="Calibri"/>
                <w:b w:val="0"/>
                <w:bCs w:val="0"/>
                <w:color w:val="212529"/>
                <w:sz w:val="20"/>
                <w:szCs w:val="20"/>
                <w:rtl w:val="0"/>
              </w:rPr>
              <w:t xml:space="preserve">3 semanas</w:t>
            </w:r>
            <w:r w:rsidDel="00000000" w:rsidR="00000000" w:rsidRPr="00000000">
              <w:rPr>
                <w:rtl w:val="0"/>
              </w:rPr>
            </w:r>
          </w:p>
        </w:tc>
        <w:tc>
          <w:tcPr/>
          <w:p w:rsidR="00000000" w:rsidDel="00000000" w:rsidP="00000000" w:rsidRDefault="00000000" w:rsidRPr="00000000" w14:paraId="0000004A">
            <w:pPr>
              <w:rPr>
                <w:sz w:val="20"/>
                <w:szCs w:val="20"/>
              </w:rPr>
            </w:pPr>
            <w:r w:rsidDel="00000000" w:rsidR="00000000" w:rsidRPr="00000000">
              <w:rPr>
                <w:rFonts w:ascii="Calibri" w:cs="Calibri" w:eastAsia="Calibri" w:hAnsi="Calibri"/>
                <w:b w:val="0"/>
                <w:bCs w:val="0"/>
                <w:color w:val="212529"/>
                <w:sz w:val="20"/>
                <w:szCs w:val="20"/>
                <w:rtl w:val="0"/>
              </w:rPr>
              <w:t xml:space="preserve">Nicolás Olave</w:t>
            </w:r>
            <w:r w:rsidDel="00000000" w:rsidR="00000000" w:rsidRPr="00000000">
              <w:rPr>
                <w:rtl w:val="0"/>
              </w:rPr>
            </w:r>
          </w:p>
        </w:tc>
        <w:tc>
          <w:tcPr/>
          <w:p w:rsidR="00000000" w:rsidDel="00000000" w:rsidP="00000000" w:rsidRDefault="00000000" w:rsidRPr="00000000" w14:paraId="0000004B">
            <w:pPr>
              <w:rPr>
                <w:sz w:val="20"/>
                <w:szCs w:val="20"/>
              </w:rPr>
            </w:pPr>
            <w:r w:rsidDel="00000000" w:rsidR="00000000" w:rsidRPr="00000000">
              <w:rPr>
                <w:rFonts w:ascii="Calibri" w:cs="Calibri" w:eastAsia="Calibri" w:hAnsi="Calibri"/>
                <w:b w:val="0"/>
                <w:bCs w:val="0"/>
                <w:color w:val="212529"/>
                <w:sz w:val="20"/>
                <w:szCs w:val="20"/>
                <w:rtl w:val="0"/>
              </w:rPr>
              <w:t xml:space="preserve">Había diagramas de la versión anterior con otros actores.</w:t>
            </w:r>
            <w:r w:rsidDel="00000000" w:rsidR="00000000" w:rsidRPr="00000000">
              <w:rPr>
                <w:rtl w:val="0"/>
              </w:rPr>
            </w:r>
          </w:p>
        </w:tc>
        <w:tc>
          <w:tcPr/>
          <w:p w:rsidR="00000000" w:rsidDel="00000000" w:rsidP="00000000" w:rsidRDefault="00000000" w:rsidRPr="00000000" w14:paraId="0000004C">
            <w:pPr>
              <w:rPr>
                <w:sz w:val="20"/>
                <w:szCs w:val="20"/>
              </w:rPr>
            </w:pPr>
            <w:r w:rsidDel="00000000" w:rsidR="00000000" w:rsidRPr="00000000">
              <w:rPr>
                <w:rFonts w:ascii="Calibri" w:cs="Calibri" w:eastAsia="Calibri" w:hAnsi="Calibri"/>
                <w:b w:val="0"/>
                <w:bCs w:val="0"/>
                <w:color w:val="212529"/>
                <w:sz w:val="20"/>
                <w:szCs w:val="20"/>
                <w:rtl w:val="0"/>
              </w:rPr>
              <w:t xml:space="preserve">Completado</w:t>
            </w:r>
            <w:r w:rsidDel="00000000" w:rsidR="00000000" w:rsidRPr="00000000">
              <w:rPr>
                <w:rtl w:val="0"/>
              </w:rPr>
            </w:r>
          </w:p>
        </w:tc>
        <w:tc>
          <w:tcPr/>
          <w:p w:rsidR="00000000" w:rsidDel="00000000" w:rsidP="00000000" w:rsidRDefault="00000000" w:rsidRPr="00000000" w14:paraId="0000004D">
            <w:pPr>
              <w:rPr>
                <w:sz w:val="20"/>
                <w:szCs w:val="20"/>
              </w:rPr>
            </w:pPr>
            <w:r w:rsidDel="00000000" w:rsidR="00000000" w:rsidRPr="00000000">
              <w:rPr>
                <w:rFonts w:ascii="Calibri" w:cs="Calibri" w:eastAsia="Calibri" w:hAnsi="Calibri"/>
                <w:b w:val="0"/>
                <w:bCs w:val="0"/>
                <w:color w:val="212529"/>
                <w:sz w:val="20"/>
                <w:szCs w:val="20"/>
                <w:rtl w:val="0"/>
              </w:rPr>
              <w:t xml:space="preserve">Stack Firebase. Roles administrador, supervisor, técnico y usuario.</w:t>
            </w:r>
            <w:r w:rsidDel="00000000" w:rsidR="00000000" w:rsidRPr="00000000">
              <w:rPr>
                <w:rtl w:val="0"/>
              </w:rPr>
            </w:r>
          </w:p>
        </w:tc>
      </w:tr>
      <w:tr>
        <w:trPr>
          <w:cantSplit w:val="0"/>
          <w:tblHeader w:val="0"/>
        </w:trPr>
        <w:tc>
          <w:tcPr/>
          <w:p w:rsidR="00000000" w:rsidDel="00000000" w:rsidP="00000000" w:rsidRDefault="00000000" w:rsidRPr="00000000" w14:paraId="0000004E">
            <w:pPr>
              <w:rPr>
                <w:sz w:val="20"/>
                <w:szCs w:val="20"/>
              </w:rPr>
            </w:pPr>
            <w:r w:rsidDel="00000000" w:rsidR="00000000" w:rsidRPr="00000000">
              <w:rPr>
                <w:rFonts w:ascii="Calibri" w:cs="Calibri" w:eastAsia="Calibri" w:hAnsi="Calibri"/>
                <w:b w:val="0"/>
                <w:bCs w:val="0"/>
                <w:color w:val="212529"/>
                <w:sz w:val="20"/>
                <w:szCs w:val="20"/>
                <w:rtl w:val="0"/>
              </w:rPr>
              <w:t xml:space="preserve">Modelado de datos</w:t>
            </w:r>
            <w:r w:rsidDel="00000000" w:rsidR="00000000" w:rsidRPr="00000000">
              <w:rPr>
                <w:rtl w:val="0"/>
              </w:rPr>
            </w:r>
          </w:p>
        </w:tc>
        <w:tc>
          <w:tcPr/>
          <w:p w:rsidR="00000000" w:rsidDel="00000000" w:rsidP="00000000" w:rsidRDefault="00000000" w:rsidRPr="00000000" w14:paraId="0000004F">
            <w:pPr>
              <w:rPr>
                <w:sz w:val="20"/>
                <w:szCs w:val="20"/>
              </w:rPr>
            </w:pPr>
            <w:r w:rsidDel="00000000" w:rsidR="00000000" w:rsidRPr="00000000">
              <w:rPr>
                <w:rFonts w:ascii="Calibri" w:cs="Calibri" w:eastAsia="Calibri" w:hAnsi="Calibri"/>
                <w:b w:val="0"/>
                <w:bCs w:val="0"/>
                <w:color w:val="212529"/>
                <w:sz w:val="20"/>
                <w:szCs w:val="20"/>
                <w:rtl w:val="0"/>
              </w:rPr>
              <w:t xml:space="preserve">Diccionario de datos y modelo Firestore</w:t>
            </w:r>
            <w:r w:rsidDel="00000000" w:rsidR="00000000" w:rsidRPr="00000000">
              <w:rPr>
                <w:rtl w:val="0"/>
              </w:rPr>
            </w:r>
          </w:p>
        </w:tc>
        <w:tc>
          <w:tcPr/>
          <w:p w:rsidR="00000000" w:rsidDel="00000000" w:rsidP="00000000" w:rsidRDefault="00000000" w:rsidRPr="00000000" w14:paraId="00000050">
            <w:pPr>
              <w:rPr>
                <w:sz w:val="20"/>
                <w:szCs w:val="20"/>
              </w:rPr>
            </w:pPr>
            <w:r w:rsidDel="00000000" w:rsidR="00000000" w:rsidRPr="00000000">
              <w:rPr>
                <w:rFonts w:ascii="Calibri" w:cs="Calibri" w:eastAsia="Calibri" w:hAnsi="Calibri"/>
                <w:b w:val="0"/>
                <w:bCs w:val="0"/>
                <w:color w:val="212529"/>
                <w:sz w:val="20"/>
                <w:szCs w:val="20"/>
                <w:rtl w:val="0"/>
              </w:rPr>
              <w:t xml:space="preserve">ERS, casos de uso</w:t>
            </w:r>
            <w:r w:rsidDel="00000000" w:rsidR="00000000" w:rsidRPr="00000000">
              <w:rPr>
                <w:rtl w:val="0"/>
              </w:rPr>
            </w:r>
          </w:p>
        </w:tc>
        <w:tc>
          <w:tcPr/>
          <w:p w:rsidR="00000000" w:rsidDel="00000000" w:rsidP="00000000" w:rsidRDefault="00000000" w:rsidRPr="00000000" w14:paraId="00000051">
            <w:pPr>
              <w:rPr>
                <w:sz w:val="20"/>
                <w:szCs w:val="20"/>
              </w:rPr>
            </w:pPr>
            <w:r w:rsidDel="00000000" w:rsidR="00000000" w:rsidRPr="00000000">
              <w:rPr>
                <w:rFonts w:ascii="Calibri" w:cs="Calibri" w:eastAsia="Calibri" w:hAnsi="Calibri"/>
                <w:b w:val="0"/>
                <w:bCs w:val="0"/>
                <w:color w:val="212529"/>
                <w:sz w:val="20"/>
                <w:szCs w:val="20"/>
                <w:rtl w:val="0"/>
              </w:rPr>
              <w:t xml:space="preserve">2 semanas</w:t>
            </w:r>
            <w:r w:rsidDel="00000000" w:rsidR="00000000" w:rsidRPr="00000000">
              <w:rPr>
                <w:rtl w:val="0"/>
              </w:rPr>
            </w:r>
          </w:p>
        </w:tc>
        <w:tc>
          <w:tcPr/>
          <w:p w:rsidR="00000000" w:rsidDel="00000000" w:rsidP="00000000" w:rsidRDefault="00000000" w:rsidRPr="00000000" w14:paraId="00000052">
            <w:pPr>
              <w:rPr>
                <w:sz w:val="20"/>
                <w:szCs w:val="20"/>
              </w:rPr>
            </w:pPr>
            <w:r w:rsidDel="00000000" w:rsidR="00000000" w:rsidRPr="00000000">
              <w:rPr>
                <w:rFonts w:ascii="Calibri" w:cs="Calibri" w:eastAsia="Calibri" w:hAnsi="Calibri"/>
                <w:b w:val="0"/>
                <w:bCs w:val="0"/>
                <w:color w:val="212529"/>
                <w:sz w:val="20"/>
                <w:szCs w:val="20"/>
                <w:rtl w:val="0"/>
              </w:rPr>
              <w:t xml:space="preserve">Antonio Venegas</w:t>
            </w:r>
            <w:r w:rsidDel="00000000" w:rsidR="00000000" w:rsidRPr="00000000">
              <w:rPr>
                <w:rtl w:val="0"/>
              </w:rPr>
            </w:r>
          </w:p>
        </w:tc>
        <w:tc>
          <w:tcPr/>
          <w:p w:rsidR="00000000" w:rsidDel="00000000" w:rsidP="00000000" w:rsidRDefault="00000000" w:rsidRPr="00000000" w14:paraId="00000053">
            <w:pPr>
              <w:rPr>
                <w:sz w:val="20"/>
                <w:szCs w:val="20"/>
              </w:rPr>
            </w:pPr>
            <w:r w:rsidDel="00000000" w:rsidR="00000000" w:rsidRPr="00000000">
              <w:rPr>
                <w:rFonts w:ascii="Calibri" w:cs="Calibri" w:eastAsia="Calibri" w:hAnsi="Calibri"/>
                <w:b w:val="0"/>
                <w:bCs w:val="0"/>
                <w:color w:val="212529"/>
                <w:sz w:val="20"/>
                <w:szCs w:val="20"/>
                <w:rtl w:val="0"/>
              </w:rPr>
              <w:t xml:space="preserve">Había nombres distintos en documentos anteriores.</w:t>
            </w:r>
            <w:r w:rsidDel="00000000" w:rsidR="00000000" w:rsidRPr="00000000">
              <w:rPr>
                <w:rtl w:val="0"/>
              </w:rPr>
            </w:r>
          </w:p>
        </w:tc>
        <w:tc>
          <w:tcPr/>
          <w:p w:rsidR="00000000" w:rsidDel="00000000" w:rsidP="00000000" w:rsidRDefault="00000000" w:rsidRPr="00000000" w14:paraId="00000054">
            <w:pPr>
              <w:rPr>
                <w:sz w:val="20"/>
                <w:szCs w:val="20"/>
              </w:rPr>
            </w:pPr>
            <w:r w:rsidDel="00000000" w:rsidR="00000000" w:rsidRPr="00000000">
              <w:rPr>
                <w:rFonts w:ascii="Calibri" w:cs="Calibri" w:eastAsia="Calibri" w:hAnsi="Calibri"/>
                <w:b w:val="0"/>
                <w:bCs w:val="0"/>
                <w:color w:val="212529"/>
                <w:sz w:val="20"/>
                <w:szCs w:val="20"/>
                <w:rtl w:val="0"/>
              </w:rPr>
              <w:t xml:space="preserve">Completado</w:t>
            </w:r>
            <w:r w:rsidDel="00000000" w:rsidR="00000000" w:rsidRPr="00000000">
              <w:rPr>
                <w:rtl w:val="0"/>
              </w:rPr>
            </w:r>
          </w:p>
        </w:tc>
        <w:tc>
          <w:tcPr/>
          <w:p w:rsidR="00000000" w:rsidDel="00000000" w:rsidP="00000000" w:rsidRDefault="00000000" w:rsidRPr="00000000" w14:paraId="00000055">
            <w:pPr>
              <w:rPr>
                <w:sz w:val="20"/>
                <w:szCs w:val="20"/>
              </w:rPr>
            </w:pPr>
            <w:r w:rsidDel="00000000" w:rsidR="00000000" w:rsidRPr="00000000">
              <w:rPr>
                <w:rFonts w:ascii="Calibri" w:cs="Calibri" w:eastAsia="Calibri" w:hAnsi="Calibri"/>
                <w:b w:val="0"/>
                <w:bCs w:val="0"/>
                <w:color w:val="212529"/>
                <w:sz w:val="20"/>
                <w:szCs w:val="20"/>
                <w:rtl w:val="0"/>
              </w:rPr>
              <w:t xml:space="preserve">Bitácora en comentarios_ot y OT en ordenes_trabajo. Patente como identificador.</w:t>
            </w:r>
            <w:r w:rsidDel="00000000" w:rsidR="00000000" w:rsidRPr="00000000">
              <w:rPr>
                <w:rtl w:val="0"/>
              </w:rPr>
            </w:r>
          </w:p>
        </w:tc>
      </w:tr>
      <w:tr>
        <w:trPr>
          <w:cantSplit w:val="0"/>
          <w:tblHeader w:val="0"/>
        </w:trPr>
        <w:tc>
          <w:tcPr/>
          <w:p w:rsidR="00000000" w:rsidDel="00000000" w:rsidP="00000000" w:rsidRDefault="00000000" w:rsidRPr="00000000" w14:paraId="00000056">
            <w:pPr>
              <w:rPr>
                <w:sz w:val="20"/>
                <w:szCs w:val="20"/>
              </w:rPr>
            </w:pPr>
            <w:r w:rsidDel="00000000" w:rsidR="00000000" w:rsidRPr="00000000">
              <w:rPr>
                <w:rFonts w:ascii="Calibri" w:cs="Calibri" w:eastAsia="Calibri" w:hAnsi="Calibri"/>
                <w:b w:val="0"/>
                <w:bCs w:val="0"/>
                <w:color w:val="212529"/>
                <w:sz w:val="20"/>
                <w:szCs w:val="20"/>
                <w:rtl w:val="0"/>
              </w:rPr>
              <w:t xml:space="preserve">Gestión de riesgos</w:t>
            </w:r>
            <w:r w:rsidDel="00000000" w:rsidR="00000000" w:rsidRPr="00000000">
              <w:rPr>
                <w:rtl w:val="0"/>
              </w:rPr>
            </w:r>
          </w:p>
        </w:tc>
        <w:tc>
          <w:tcPr/>
          <w:p w:rsidR="00000000" w:rsidDel="00000000" w:rsidP="00000000" w:rsidRDefault="00000000" w:rsidRPr="00000000" w14:paraId="00000057">
            <w:pPr>
              <w:rPr>
                <w:sz w:val="20"/>
                <w:szCs w:val="20"/>
              </w:rPr>
            </w:pPr>
            <w:r w:rsidDel="00000000" w:rsidR="00000000" w:rsidRPr="00000000">
              <w:rPr>
                <w:rFonts w:ascii="Calibri" w:cs="Calibri" w:eastAsia="Calibri" w:hAnsi="Calibri"/>
                <w:b w:val="0"/>
                <w:bCs w:val="0"/>
                <w:color w:val="212529"/>
                <w:sz w:val="20"/>
                <w:szCs w:val="20"/>
                <w:rtl w:val="0"/>
              </w:rPr>
              <w:t xml:space="preserve">Matriz de riesgos</w:t>
            </w:r>
            <w:r w:rsidDel="00000000" w:rsidR="00000000" w:rsidRPr="00000000">
              <w:rPr>
                <w:rtl w:val="0"/>
              </w:rPr>
            </w:r>
          </w:p>
        </w:tc>
        <w:tc>
          <w:tcPr/>
          <w:p w:rsidR="00000000" w:rsidDel="00000000" w:rsidP="00000000" w:rsidRDefault="00000000" w:rsidRPr="00000000" w14:paraId="00000058">
            <w:pPr>
              <w:rPr>
                <w:sz w:val="20"/>
                <w:szCs w:val="20"/>
              </w:rPr>
            </w:pPr>
            <w:r w:rsidDel="00000000" w:rsidR="00000000" w:rsidRPr="00000000">
              <w:rPr>
                <w:rFonts w:ascii="Calibri" w:cs="Calibri" w:eastAsia="Calibri" w:hAnsi="Calibri"/>
                <w:b w:val="0"/>
                <w:bCs w:val="0"/>
                <w:color w:val="212529"/>
                <w:sz w:val="20"/>
                <w:szCs w:val="20"/>
                <w:rtl w:val="0"/>
              </w:rPr>
              <w:t xml:space="preserve">Acta, ERS</w:t>
            </w:r>
            <w:r w:rsidDel="00000000" w:rsidR="00000000" w:rsidRPr="00000000">
              <w:rPr>
                <w:rtl w:val="0"/>
              </w:rPr>
            </w:r>
          </w:p>
        </w:tc>
        <w:tc>
          <w:tcPr/>
          <w:p w:rsidR="00000000" w:rsidDel="00000000" w:rsidP="00000000" w:rsidRDefault="00000000" w:rsidRPr="00000000" w14:paraId="00000059">
            <w:pPr>
              <w:rPr>
                <w:sz w:val="20"/>
                <w:szCs w:val="20"/>
              </w:rPr>
            </w:pPr>
            <w:r w:rsidDel="00000000" w:rsidR="00000000" w:rsidRPr="00000000">
              <w:rPr>
                <w:rFonts w:ascii="Calibri" w:cs="Calibri" w:eastAsia="Calibri" w:hAnsi="Calibri"/>
                <w:b w:val="0"/>
                <w:bCs w:val="0"/>
                <w:color w:val="212529"/>
                <w:sz w:val="20"/>
                <w:szCs w:val="20"/>
                <w:rtl w:val="0"/>
              </w:rPr>
              <w:t xml:space="preserve">1 semana</w:t>
            </w:r>
            <w:r w:rsidDel="00000000" w:rsidR="00000000" w:rsidRPr="00000000">
              <w:rPr>
                <w:rtl w:val="0"/>
              </w:rPr>
            </w:r>
          </w:p>
        </w:tc>
        <w:tc>
          <w:tcPr/>
          <w:p w:rsidR="00000000" w:rsidDel="00000000" w:rsidP="00000000" w:rsidRDefault="00000000" w:rsidRPr="00000000" w14:paraId="0000005A">
            <w:pPr>
              <w:rPr>
                <w:sz w:val="20"/>
                <w:szCs w:val="20"/>
              </w:rPr>
            </w:pPr>
            <w:r w:rsidDel="00000000" w:rsidR="00000000" w:rsidRPr="00000000">
              <w:rPr>
                <w:rFonts w:ascii="Calibri" w:cs="Calibri" w:eastAsia="Calibri" w:hAnsi="Calibri"/>
                <w:b w:val="0"/>
                <w:bCs w:val="0"/>
                <w:color w:val="212529"/>
                <w:sz w:val="20"/>
                <w:szCs w:val="20"/>
                <w:rtl w:val="0"/>
              </w:rPr>
              <w:t xml:space="preserve">Antonio Venegas</w:t>
            </w:r>
            <w:r w:rsidDel="00000000" w:rsidR="00000000" w:rsidRPr="00000000">
              <w:rPr>
                <w:rtl w:val="0"/>
              </w:rPr>
            </w:r>
          </w:p>
        </w:tc>
        <w:tc>
          <w:tcPr/>
          <w:p w:rsidR="00000000" w:rsidDel="00000000" w:rsidP="00000000" w:rsidRDefault="00000000" w:rsidRPr="00000000" w14:paraId="0000005B">
            <w:pPr>
              <w:rPr>
                <w:sz w:val="20"/>
                <w:szCs w:val="20"/>
              </w:rPr>
            </w:pPr>
            <w:r w:rsidDel="00000000" w:rsidR="00000000" w:rsidRPr="00000000">
              <w:rPr>
                <w:rFonts w:ascii="Calibri" w:cs="Calibri" w:eastAsia="Calibri" w:hAnsi="Calibri"/>
                <w:b w:val="0"/>
                <w:bCs w:val="0"/>
                <w:color w:val="212529"/>
                <w:sz w:val="20"/>
                <w:szCs w:val="20"/>
                <w:rtl w:val="0"/>
              </w:rPr>
              <w:t xml:space="preserve">La cuota del plan y la bitácora inmutable condicionan el diseño.</w:t>
            </w:r>
            <w:r w:rsidDel="00000000" w:rsidR="00000000" w:rsidRPr="00000000">
              <w:rPr>
                <w:rtl w:val="0"/>
              </w:rPr>
            </w:r>
          </w:p>
        </w:tc>
        <w:tc>
          <w:tcPr/>
          <w:p w:rsidR="00000000" w:rsidDel="00000000" w:rsidP="00000000" w:rsidRDefault="00000000" w:rsidRPr="00000000" w14:paraId="0000005C">
            <w:pPr>
              <w:rPr>
                <w:sz w:val="20"/>
                <w:szCs w:val="20"/>
              </w:rPr>
            </w:pPr>
            <w:r w:rsidDel="00000000" w:rsidR="00000000" w:rsidRPr="00000000">
              <w:rPr>
                <w:rFonts w:ascii="Calibri" w:cs="Calibri" w:eastAsia="Calibri" w:hAnsi="Calibri"/>
                <w:b w:val="0"/>
                <w:bCs w:val="0"/>
                <w:color w:val="212529"/>
                <w:sz w:val="20"/>
                <w:szCs w:val="20"/>
                <w:rtl w:val="0"/>
              </w:rPr>
              <w:t xml:space="preserve">Completado</w:t>
            </w:r>
            <w:r w:rsidDel="00000000" w:rsidR="00000000" w:rsidRPr="00000000">
              <w:rPr>
                <w:rtl w:val="0"/>
              </w:rPr>
            </w:r>
          </w:p>
        </w:tc>
        <w:tc>
          <w:tcPr/>
          <w:p w:rsidR="00000000" w:rsidDel="00000000" w:rsidP="00000000" w:rsidRDefault="00000000" w:rsidRPr="00000000" w14:paraId="0000005D">
            <w:pPr>
              <w:rPr>
                <w:sz w:val="20"/>
                <w:szCs w:val="20"/>
              </w:rPr>
            </w:pPr>
            <w:r w:rsidDel="00000000" w:rsidR="00000000" w:rsidRPr="00000000">
              <w:rPr>
                <w:rFonts w:ascii="Calibri" w:cs="Calibri" w:eastAsia="Calibri" w:hAnsi="Calibri"/>
                <w:b w:val="0"/>
                <w:bCs w:val="0"/>
                <w:color w:val="212529"/>
                <w:sz w:val="20"/>
                <w:szCs w:val="20"/>
                <w:rtl w:val="0"/>
              </w:rPr>
              <w:t xml:space="preserve">Sin cambio de responsable.</w:t>
            </w:r>
            <w:r w:rsidDel="00000000" w:rsidR="00000000" w:rsidRPr="00000000">
              <w:rPr>
                <w:rtl w:val="0"/>
              </w:rPr>
            </w:r>
          </w:p>
        </w:tc>
      </w:tr>
      <w:tr>
        <w:trPr>
          <w:cantSplit w:val="0"/>
          <w:tblHeader w:val="0"/>
        </w:trPr>
        <w:tc>
          <w:tcPr/>
          <w:p w:rsidR="00000000" w:rsidDel="00000000" w:rsidP="00000000" w:rsidRDefault="00000000" w:rsidRPr="00000000" w14:paraId="0000005E">
            <w:pPr>
              <w:rPr>
                <w:sz w:val="20"/>
                <w:szCs w:val="20"/>
              </w:rPr>
            </w:pPr>
            <w:r w:rsidDel="00000000" w:rsidR="00000000" w:rsidRPr="00000000">
              <w:rPr>
                <w:rFonts w:ascii="Calibri" w:cs="Calibri" w:eastAsia="Calibri" w:hAnsi="Calibri"/>
                <w:b w:val="0"/>
                <w:bCs w:val="0"/>
                <w:color w:val="212529"/>
                <w:sz w:val="20"/>
                <w:szCs w:val="20"/>
                <w:rtl w:val="0"/>
              </w:rPr>
              <w:t xml:space="preserve">Coordinación</w:t>
            </w:r>
            <w:r w:rsidDel="00000000" w:rsidR="00000000" w:rsidRPr="00000000">
              <w:rPr>
                <w:rtl w:val="0"/>
              </w:rPr>
            </w:r>
          </w:p>
        </w:tc>
        <w:tc>
          <w:tcPr/>
          <w:p w:rsidR="00000000" w:rsidDel="00000000" w:rsidP="00000000" w:rsidRDefault="00000000" w:rsidRPr="00000000" w14:paraId="0000005F">
            <w:pPr>
              <w:rPr>
                <w:sz w:val="20"/>
                <w:szCs w:val="20"/>
              </w:rPr>
            </w:pPr>
            <w:r w:rsidDel="00000000" w:rsidR="00000000" w:rsidRPr="00000000">
              <w:rPr>
                <w:rFonts w:ascii="Calibri" w:cs="Calibri" w:eastAsia="Calibri" w:hAnsi="Calibri"/>
                <w:b w:val="0"/>
                <w:bCs w:val="0"/>
                <w:color w:val="212529"/>
                <w:sz w:val="20"/>
                <w:szCs w:val="20"/>
                <w:rtl w:val="0"/>
              </w:rPr>
              <w:t xml:space="preserve">Matriz RACI</w:t>
            </w:r>
            <w:r w:rsidDel="00000000" w:rsidR="00000000" w:rsidRPr="00000000">
              <w:rPr>
                <w:rtl w:val="0"/>
              </w:rPr>
            </w:r>
          </w:p>
        </w:tc>
        <w:tc>
          <w:tcPr/>
          <w:p w:rsidR="00000000" w:rsidDel="00000000" w:rsidP="00000000" w:rsidRDefault="00000000" w:rsidRPr="00000000" w14:paraId="00000060">
            <w:pPr>
              <w:rPr>
                <w:sz w:val="20"/>
                <w:szCs w:val="20"/>
              </w:rPr>
            </w:pPr>
            <w:r w:rsidDel="00000000" w:rsidR="00000000" w:rsidRPr="00000000">
              <w:rPr>
                <w:rFonts w:ascii="Calibri" w:cs="Calibri" w:eastAsia="Calibri" w:hAnsi="Calibri"/>
                <w:b w:val="0"/>
                <w:bCs w:val="0"/>
                <w:color w:val="212529"/>
                <w:sz w:val="20"/>
                <w:szCs w:val="20"/>
                <w:rtl w:val="0"/>
              </w:rPr>
              <w:t xml:space="preserve">Acta, entregables de la fase</w:t>
            </w:r>
            <w:r w:rsidDel="00000000" w:rsidR="00000000" w:rsidRPr="00000000">
              <w:rPr>
                <w:rtl w:val="0"/>
              </w:rPr>
            </w:r>
          </w:p>
        </w:tc>
        <w:tc>
          <w:tcPr/>
          <w:p w:rsidR="00000000" w:rsidDel="00000000" w:rsidP="00000000" w:rsidRDefault="00000000" w:rsidRPr="00000000" w14:paraId="00000061">
            <w:pPr>
              <w:rPr>
                <w:sz w:val="20"/>
                <w:szCs w:val="20"/>
              </w:rPr>
            </w:pPr>
            <w:r w:rsidDel="00000000" w:rsidR="00000000" w:rsidRPr="00000000">
              <w:rPr>
                <w:rFonts w:ascii="Calibri" w:cs="Calibri" w:eastAsia="Calibri" w:hAnsi="Calibri"/>
                <w:b w:val="0"/>
                <w:bCs w:val="0"/>
                <w:color w:val="212529"/>
                <w:sz w:val="20"/>
                <w:szCs w:val="20"/>
                <w:rtl w:val="0"/>
              </w:rPr>
              <w:t xml:space="preserve">1 semana</w:t>
            </w:r>
            <w:r w:rsidDel="00000000" w:rsidR="00000000" w:rsidRPr="00000000">
              <w:rPr>
                <w:rtl w:val="0"/>
              </w:rPr>
            </w:r>
          </w:p>
        </w:tc>
        <w:tc>
          <w:tcPr/>
          <w:p w:rsidR="00000000" w:rsidDel="00000000" w:rsidP="00000000" w:rsidRDefault="00000000" w:rsidRPr="00000000" w14:paraId="00000062">
            <w:pPr>
              <w:rPr>
                <w:sz w:val="20"/>
                <w:szCs w:val="20"/>
              </w:rPr>
            </w:pPr>
            <w:r w:rsidDel="00000000" w:rsidR="00000000" w:rsidRPr="00000000">
              <w:rPr>
                <w:rFonts w:ascii="Calibri" w:cs="Calibri" w:eastAsia="Calibri" w:hAnsi="Calibri"/>
                <w:b w:val="0"/>
                <w:bCs w:val="0"/>
                <w:color w:val="212529"/>
                <w:sz w:val="20"/>
                <w:szCs w:val="20"/>
                <w:rtl w:val="0"/>
              </w:rPr>
              <w:t xml:space="preserve">Nicolás Olave</w:t>
            </w:r>
            <w:r w:rsidDel="00000000" w:rsidR="00000000" w:rsidRPr="00000000">
              <w:rPr>
                <w:rtl w:val="0"/>
              </w:rPr>
            </w:r>
          </w:p>
        </w:tc>
        <w:tc>
          <w:tcPr/>
          <w:p w:rsidR="00000000" w:rsidDel="00000000" w:rsidP="00000000" w:rsidRDefault="00000000" w:rsidRPr="00000000" w14:paraId="00000063">
            <w:pPr>
              <w:rPr>
                <w:sz w:val="20"/>
                <w:szCs w:val="20"/>
              </w:rPr>
            </w:pPr>
            <w:r w:rsidDel="00000000" w:rsidR="00000000" w:rsidRPr="00000000">
              <w:rPr>
                <w:rFonts w:ascii="Calibri" w:cs="Calibri" w:eastAsia="Calibri" w:hAnsi="Calibri"/>
                <w:b w:val="0"/>
                <w:bCs w:val="0"/>
                <w:color w:val="212529"/>
                <w:sz w:val="20"/>
                <w:szCs w:val="20"/>
                <w:rtl w:val="0"/>
              </w:rPr>
              <w:t xml:space="preserve">Separa los entregables para no rehacer el mismo documento.</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Fonts w:ascii="Calibri" w:cs="Calibri" w:eastAsia="Calibri" w:hAnsi="Calibri"/>
                <w:b w:val="0"/>
                <w:bCs w:val="0"/>
                <w:color w:val="212529"/>
                <w:sz w:val="20"/>
                <w:szCs w:val="20"/>
                <w:rtl w:val="0"/>
              </w:rPr>
              <w:t xml:space="preserve">Completado</w:t>
            </w:r>
            <w:r w:rsidDel="00000000" w:rsidR="00000000" w:rsidRPr="00000000">
              <w:rPr>
                <w:rtl w:val="0"/>
              </w:rPr>
            </w:r>
          </w:p>
        </w:tc>
        <w:tc>
          <w:tcPr/>
          <w:p w:rsidR="00000000" w:rsidDel="00000000" w:rsidP="00000000" w:rsidRDefault="00000000" w:rsidRPr="00000000" w14:paraId="00000065">
            <w:pPr>
              <w:rPr>
                <w:sz w:val="20"/>
                <w:szCs w:val="20"/>
              </w:rPr>
            </w:pPr>
            <w:r w:rsidDel="00000000" w:rsidR="00000000" w:rsidRPr="00000000">
              <w:rPr>
                <w:rFonts w:ascii="Calibri" w:cs="Calibri" w:eastAsia="Calibri" w:hAnsi="Calibri"/>
                <w:b w:val="0"/>
                <w:bCs w:val="0"/>
                <w:color w:val="212529"/>
                <w:sz w:val="20"/>
                <w:szCs w:val="20"/>
                <w:rtl w:val="0"/>
              </w:rPr>
              <w:t xml:space="preserve">Sin redistribución.</w:t>
            </w:r>
            <w:r w:rsidDel="00000000" w:rsidR="00000000" w:rsidRPr="00000000">
              <w:rPr>
                <w:rtl w:val="0"/>
              </w:rPr>
            </w:r>
          </w:p>
        </w:tc>
      </w:tr>
    </w:tbl>
    <w:p w:rsidR="00000000" w:rsidDel="00000000" w:rsidP="00000000" w:rsidRDefault="00000000" w:rsidRPr="00000000" w14:paraId="0000006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3023.33740234375" w:hRule="atLeast"/>
          <w:tblHeader w:val="0"/>
        </w:trPr>
        <w:tc>
          <w:tcPr>
            <w:vAlign w:val="center"/>
          </w:tcPr>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color w:val="212529"/>
                <w:sz w:val="22"/>
                <w:szCs w:val="22"/>
                <w:rtl w:val="0"/>
              </w:rPr>
              <w:t xml:space="preserve">Factores que han facilitado y/o dificultado el desarrollo del plan:</w:t>
            </w:r>
            <w:r w:rsidDel="00000000" w:rsidR="00000000" w:rsidRPr="00000000">
              <w:rPr>
                <w:rtl w:val="0"/>
              </w:rPr>
            </w:r>
          </w:p>
          <w:p w:rsidR="00000000" w:rsidDel="00000000" w:rsidP="00000000" w:rsidRDefault="00000000" w:rsidRPr="00000000" w14:paraId="0000006B">
            <w:pPr>
              <w:spacing w:after="80" w:lineRule="auto"/>
              <w:rPr>
                <w:color w:val="212529"/>
              </w:rPr>
            </w:pPr>
            <w:r w:rsidDel="00000000" w:rsidR="00000000" w:rsidRPr="00000000">
              <w:rPr>
                <w:rFonts w:ascii="Calibri" w:cs="Calibri" w:eastAsia="Calibri" w:hAnsi="Calibri"/>
                <w:b w:val="0"/>
                <w:bCs w:val="0"/>
                <w:color w:val="212529"/>
                <w:sz w:val="22"/>
                <w:szCs w:val="22"/>
                <w:rtl w:val="0"/>
              </w:rPr>
              <w:t xml:space="preserve">Facilitó </w:t>
            </w:r>
            <w:r w:rsidDel="00000000" w:rsidR="00000000" w:rsidRPr="00000000">
              <w:rPr>
                <w:color w:val="212529"/>
                <w:rtl w:val="0"/>
              </w:rPr>
              <w:t xml:space="preserve">tener más comunicación en grupo, ya que nos ayudó a resolver dudas entre nosotros y llegar con preguntas más concretas al docente, lo cual nos ayudó a tener menos bloqueos a la hora de desarrollar nuestras tareas que definimos en el RACI.</w:t>
            </w:r>
          </w:p>
          <w:p w:rsidR="00000000" w:rsidDel="00000000" w:rsidP="00000000" w:rsidRDefault="00000000" w:rsidRPr="00000000" w14:paraId="0000006C">
            <w:pPr>
              <w:spacing w:after="80" w:lineRule="auto"/>
              <w:rPr/>
            </w:pPr>
            <w:r w:rsidDel="00000000" w:rsidR="00000000" w:rsidRPr="00000000">
              <w:rPr>
                <w:rFonts w:ascii="Calibri" w:cs="Calibri" w:eastAsia="Calibri" w:hAnsi="Calibri"/>
                <w:b w:val="0"/>
                <w:bCs w:val="0"/>
                <w:color w:val="212529"/>
                <w:sz w:val="22"/>
                <w:szCs w:val="22"/>
                <w:rtl w:val="0"/>
              </w:rPr>
              <w:t xml:space="preserve">Dificultó que varios documentos ya existían, de una versión anterior del mismo proyecto, y hubo que ajustarlos a lo que pide esta fase. No fue un incumplimiento de la carta Gantt: las actividades van terminando en sus plazos.</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Calibri" w:cs="Calibri" w:eastAsia="Calibri" w:hAnsi="Calibri"/>
                <w:b w:val="0"/>
                <w:bCs w:val="0"/>
                <w:color w:val="212529"/>
                <w:sz w:val="22"/>
                <w:szCs w:val="22"/>
                <w:rtl w:val="0"/>
              </w:rPr>
              <w:t xml:space="preserve">Cómo se enfrentó: se contrastaron los diagramas con el diccionario y con los casos de uso de esta fase. Se corrigieron nombres y el proceso TO-BE, sin cambiar el objetivo del proyecto.</w:t>
            </w:r>
            <w:r w:rsidDel="00000000" w:rsidR="00000000" w:rsidRPr="00000000">
              <w:rPr>
                <w:rtl w:val="0"/>
              </w:rPr>
            </w:r>
          </w:p>
        </w:tc>
      </w:tr>
    </w:tbl>
    <w:p w:rsidR="00000000" w:rsidDel="00000000" w:rsidP="00000000" w:rsidRDefault="00000000" w:rsidRPr="00000000" w14:paraId="0000006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color w:val="212529"/>
                <w:sz w:val="22"/>
                <w:szCs w:val="22"/>
                <w:rtl w:val="0"/>
              </w:rPr>
              <w:t xml:space="preserve">Actividades ajustadas o eliminadas:</w:t>
            </w:r>
            <w:r w:rsidDel="00000000" w:rsidR="00000000" w:rsidRPr="00000000">
              <w:rPr>
                <w:rtl w:val="0"/>
              </w:rPr>
            </w:r>
          </w:p>
          <w:p w:rsidR="00000000" w:rsidDel="00000000" w:rsidP="00000000" w:rsidRDefault="00000000" w:rsidRPr="00000000" w14:paraId="00000070">
            <w:pPr>
              <w:spacing w:after="80" w:lineRule="auto"/>
              <w:rPr>
                <w:rFonts w:ascii="Calibri" w:cs="Calibri" w:eastAsia="Calibri" w:hAnsi="Calibri"/>
                <w:b w:val="0"/>
                <w:bCs w:val="0"/>
                <w:color w:val="212529"/>
                <w:sz w:val="22"/>
                <w:szCs w:val="22"/>
              </w:rPr>
            </w:pPr>
            <w:r w:rsidDel="00000000" w:rsidR="00000000" w:rsidRPr="00000000">
              <w:rPr>
                <w:rFonts w:ascii="Calibri" w:cs="Calibri" w:eastAsia="Calibri" w:hAnsi="Calibri"/>
                <w:b w:val="0"/>
                <w:bCs w:val="0"/>
                <w:color w:val="212529"/>
                <w:sz w:val="22"/>
                <w:szCs w:val="22"/>
                <w:rtl w:val="0"/>
              </w:rPr>
              <w:t xml:space="preserve">Se ajustó el proceso TO-BE para mostrar los seis estados de la orden de trabajo. La versión anterior no los tenía.</w:t>
            </w:r>
          </w:p>
          <w:p w:rsidR="00000000" w:rsidDel="00000000" w:rsidP="00000000" w:rsidRDefault="00000000" w:rsidRPr="00000000" w14:paraId="00000071">
            <w:pPr>
              <w:spacing w:after="80" w:lineRule="auto"/>
              <w:rPr>
                <w:color w:val="212529"/>
              </w:rPr>
            </w:pPr>
            <w:r w:rsidDel="00000000" w:rsidR="00000000" w:rsidRPr="00000000">
              <w:rPr>
                <w:color w:val="212529"/>
                <w:rtl w:val="0"/>
              </w:rPr>
              <w:t xml:space="preserve">Se ajustó el nombre de firebase a servicio firebase en el diagrama de caso de uso general.</w:t>
            </w:r>
          </w:p>
          <w:p w:rsidR="00000000" w:rsidDel="00000000" w:rsidP="00000000" w:rsidRDefault="00000000" w:rsidRPr="00000000" w14:paraId="00000072">
            <w:pPr>
              <w:spacing w:after="80" w:lineRule="auto"/>
              <w:rPr/>
            </w:pPr>
            <w:r w:rsidDel="00000000" w:rsidR="00000000" w:rsidRPr="00000000">
              <w:rPr>
                <w:rFonts w:ascii="Calibri" w:cs="Calibri" w:eastAsia="Calibri" w:hAnsi="Calibri"/>
                <w:b w:val="0"/>
                <w:bCs w:val="0"/>
                <w:color w:val="212529"/>
                <w:sz w:val="22"/>
                <w:szCs w:val="22"/>
                <w:rtl w:val="0"/>
              </w:rPr>
              <w:t xml:space="preserve">Se ajustó la arquitectura a Firebase y se descartó la API con base relacional de la versión anterior.</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Calibri" w:cs="Calibri" w:eastAsia="Calibri" w:hAnsi="Calibri"/>
                <w:b w:val="0"/>
                <w:bCs w:val="0"/>
                <w:color w:val="212529"/>
                <w:sz w:val="22"/>
                <w:szCs w:val="22"/>
                <w:rtl w:val="0"/>
              </w:rPr>
              <w:t xml:space="preserve">Se sacó del alcance el inventario de repuestos y la aplicación del conductor. El conductor entrega el vehículo y firma la ficha; no tiene usuario.</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Calibri" w:cs="Calibri" w:eastAsia="Calibri" w:hAnsi="Calibri"/>
                <w:b w:val="0"/>
                <w:bCs w:val="0"/>
                <w:color w:val="212529"/>
                <w:sz w:val="22"/>
                <w:szCs w:val="22"/>
                <w:rtl w:val="0"/>
              </w:rPr>
              <w:t xml:space="preserve">No se eliminó ninguna actividad de la carta Gantt de esta fase ni se redistribuyeron responsables.</w:t>
            </w:r>
            <w:r w:rsidDel="00000000" w:rsidR="00000000" w:rsidRPr="00000000">
              <w:rPr>
                <w:rtl w:val="0"/>
              </w:rPr>
            </w:r>
          </w:p>
        </w:tc>
      </w:tr>
    </w:tbl>
    <w:p w:rsidR="00000000" w:rsidDel="00000000" w:rsidP="00000000" w:rsidRDefault="00000000" w:rsidRPr="00000000" w14:paraId="0000007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color w:val="212529"/>
                <w:sz w:val="22"/>
                <w:szCs w:val="22"/>
                <w:rtl w:val="0"/>
              </w:rPr>
              <w:t xml:space="preserve">Actividades que no se han iniciado o están retrasadas:</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Calibri" w:cs="Calibri" w:eastAsia="Calibri" w:hAnsi="Calibri"/>
                <w:b w:val="0"/>
                <w:bCs w:val="0"/>
                <w:color w:val="212529"/>
                <w:sz w:val="22"/>
                <w:szCs w:val="22"/>
                <w:rtl w:val="0"/>
              </w:rPr>
              <w:t xml:space="preserve">No hay actividades de esta fase en retraso ni sin iniciar. Definición, casos de uso, arquitectura, proceso de negocio, diccionario, modelo y riesgos están cerrados o terminando en el plazo. El desarrollo de pantallas corresponde a la etapa siguiente del plan, no a un atraso de la actual.</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uwSzoruHDBfhbB+83vRAjFkyQ==">CgMxLjAyDmgua2lmeWJ6bmZ2M3NvOAByITFLWklpTXlNdHQ2a2h5RU93WWF1cXM1Y3FBc3dmSGJYbw==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