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ajj66usw5kc"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0000" cy="1440000"/>
                <wp:effectExtent b="0" l="0" r="0" t="0"/>
                <wp:wrapNone/>
                <wp:docPr id="28" name=""/>
                <a:graphic>
                  <a:graphicData uri="http://schemas.microsoft.com/office/word/2010/wordprocessingGroup">
                    <wpg:wgp>
                      <wpg:cNvGrpSpPr/>
                      <wpg:grpSpPr>
                        <a:xfrm>
                          <a:off x="2226550" y="2998950"/>
                          <a:ext cx="5760000" cy="14400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0000" cy="14400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60000" cy="14400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7">
      <w:pPr>
        <w:spacing w:after="0" w:line="240" w:lineRule="auto"/>
        <w:rPr>
          <w:color w:val="595959"/>
          <w:sz w:val="24"/>
          <w:szCs w:val="24"/>
        </w:rPr>
      </w:pPr>
      <w:r w:rsidDel="00000000" w:rsidR="00000000" w:rsidRPr="00000000">
        <w:rPr>
          <w:rtl w:val="0"/>
        </w:rPr>
      </w:r>
    </w:p>
    <w:tbl>
      <w:tblPr>
        <w:tblStyle w:val="Table1"/>
        <w:tblW w:w="9070.889763779529"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65"/>
        <w:gridCol w:w="7105.889763779529"/>
        <w:tblGridChange w:id="0">
          <w:tblGrid>
            <w:gridCol w:w="1965"/>
            <w:gridCol w:w="7105.889763779529"/>
          </w:tblGrid>
        </w:tblGridChange>
      </w:tblGrid>
      <w:tr>
        <w:trPr>
          <w:cantSplit w:val="1"/>
          <w:trHeight w:val="280" w:hRule="atLeast"/>
          <w:tblHeader w:val="0"/>
        </w:trPr>
        <w:tc>
          <w:tcPr>
            <w:gridSpan w:val="2"/>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1"/>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B">
            <w:pPr>
              <w:jc w:val="both"/>
              <w:rPr>
                <w:i w:val="1"/>
                <w:iCs w:val="1"/>
                <w:color w:val="548dd4"/>
                <w:sz w:val="20"/>
                <w:szCs w:val="20"/>
              </w:rPr>
            </w:pPr>
            <w:r w:rsidDel="00000000" w:rsidR="00000000" w:rsidRPr="00000000">
              <w:rPr>
                <w:i w:val="1"/>
                <w:iCs w:val="1"/>
                <w:color w:val="548dd4"/>
                <w:sz w:val="20"/>
                <w:szCs w:val="20"/>
                <w:rtl w:val="0"/>
              </w:rPr>
              <w:t xml:space="preserve">Hemos completado con éxito la "Fase de Planificación" y la "Fase de Análisis y Diseño" del proyecto FriendlyPets, cumpliendo con los plazos que establecimos en nuestra Carta Gantt. Durante este tiempo, definimos los alcances y requerimientos (ERS), además de diseñar la arquitectura del sistema (DAS). </w:t>
            </w:r>
          </w:p>
          <w:p w:rsidR="00000000" w:rsidDel="00000000" w:rsidP="00000000" w:rsidRDefault="00000000" w:rsidRPr="00000000" w14:paraId="0000000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0D">
            <w:pPr>
              <w:jc w:val="both"/>
              <w:rPr>
                <w:i w:val="1"/>
                <w:iCs w:val="1"/>
                <w:color w:val="548dd4"/>
                <w:sz w:val="20"/>
                <w:szCs w:val="20"/>
              </w:rPr>
            </w:pPr>
            <w:r w:rsidDel="00000000" w:rsidR="00000000" w:rsidRPr="00000000">
              <w:rPr>
                <w:i w:val="1"/>
                <w:iCs w:val="1"/>
                <w:color w:val="548dd4"/>
                <w:sz w:val="20"/>
                <w:szCs w:val="20"/>
                <w:rtl w:val="0"/>
              </w:rPr>
              <w:t xml:space="preserve">En cuanto a la gestión integral del proyecto, hemos consolidado el modelo operativo y las responsabilidades del equipo. Para ello, creamos los Modelos de Procesos de Negocio, el Diccionario de Datos de la base de datos, y los instrumentos de control gerencial: la Matriz RACI para asignar roles dentro del equipo, la Matriz de Riesgos para anticipar posibles fallas, y la Matriz de Control de Cambios para proteger el alcance del proyecto. Todo esto nos deja con una base técnica y administrativa sólida, lista para dar el siguiente paso hacia la fase de codificación sin ninguna ambigüedad.</w:t>
            </w:r>
          </w:p>
        </w:tc>
      </w:tr>
      <w:tr>
        <w:trPr>
          <w:cantSplit w:val="1"/>
          <w:trHeight w:val="124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F">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No hemos hecho cambios en los objetivos generales del proyecto. El enfoque principal sigue siendo el desarrollo e implementación de una plataforma web centralizada que facilite la gestión de atenciones a domicilio, el control de inventario móvil y los pagos para Clínica FriendlyPets LTDA.</w:t>
            </w:r>
            <w:r w:rsidDel="00000000" w:rsidR="00000000" w:rsidRPr="00000000">
              <w:rPr>
                <w:rtl w:val="0"/>
              </w:rPr>
            </w:r>
          </w:p>
        </w:tc>
      </w:tr>
      <w:tr>
        <w:trPr>
          <w:cantSplit w:val="1"/>
          <w:trHeight w:val="939"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metodología que estamos utilizando sigue siendo iterativa e incremental, basada en un sólido enfoque de Programación Orientada a Objetos (POO), complementada con metodologías ágiles y un riguroso control documental de los procesos y responsabilidades.</w:t>
            </w:r>
            <w:r w:rsidDel="00000000" w:rsidR="00000000" w:rsidRPr="00000000">
              <w:rPr>
                <w:rtl w:val="0"/>
              </w:rPr>
            </w:r>
          </w:p>
        </w:tc>
      </w:tr>
      <w:tr>
        <w:trPr>
          <w:cantSplit w:val="1"/>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Evidencias de avance</w:t>
            </w:r>
            <w:r w:rsidDel="00000000" w:rsidR="00000000" w:rsidRPr="00000000">
              <w:rPr>
                <w:rtl w:val="0"/>
              </w:rPr>
            </w:r>
          </w:p>
        </w:tc>
        <w:tc>
          <w:tcPr>
            <w:vAlign w:val="center"/>
          </w:tcPr>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Para mostrar el progreso integral de esta fase, presentamos los siguientes documentos técnicos y de gestión como evidencia:</w:t>
            </w:r>
          </w:p>
          <w:p w:rsidR="00000000" w:rsidDel="00000000" w:rsidP="00000000" w:rsidRDefault="00000000" w:rsidRPr="00000000" w14:paraId="00000014">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Documento de Arquitectura de Sistema (DAS) y Mockups: Estos definen el patrón de capas, las interfaces visuales y los diagramas de secuencia/actividad.</w:t>
            </w:r>
          </w:p>
          <w:p w:rsidR="00000000" w:rsidDel="00000000" w:rsidP="00000000" w:rsidRDefault="00000000" w:rsidRPr="00000000" w14:paraId="00000015">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Diccionario de Datos: Proporciona una especificación detallada de las 32 tablas relacionales, asegurando la integridad estructural en PostgreSQL.</w:t>
            </w:r>
          </w:p>
          <w:p w:rsidR="00000000" w:rsidDel="00000000" w:rsidP="00000000" w:rsidRDefault="00000000" w:rsidRPr="00000000" w14:paraId="00000016">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Documento Modelos de Procesos de Negocio (BPMN): Ofrece una diagramación visual de los flujos operativos, desde que el tutor agenda hasta el cobro en la pasarela de pagos.</w:t>
            </w:r>
          </w:p>
          <w:p w:rsidR="00000000" w:rsidDel="00000000" w:rsidP="00000000" w:rsidRDefault="00000000" w:rsidRPr="00000000" w14:paraId="00000017">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Matriz RACI: Establece claramente quién es Responsable, Aprobador, Consultado e Informado en cada tarea del equipo, evitando cuellos de botella organizacionales.</w:t>
            </w:r>
          </w:p>
          <w:p w:rsidR="00000000" w:rsidDel="00000000" w:rsidP="00000000" w:rsidRDefault="00000000" w:rsidRPr="00000000" w14:paraId="00000018">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Matriz de Riesgo: Identifica amenazas críticas (como la pérdida de conexión en terreno o fallos de API) y establece planes de mitigación temprana.</w:t>
            </w:r>
          </w:p>
          <w:p w:rsidR="00000000" w:rsidDel="00000000" w:rsidP="00000000" w:rsidRDefault="00000000" w:rsidRPr="00000000" w14:paraId="00000019">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Matriz Control de Cambio: Esta herramienta preventiva evalúa y documenta cualquier solicitud de modificación al alcance original, protegiendo el presupuesto y los plazos.</w:t>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Estos documentos garantizan la calidad del Proyecto APT al combinar la ingeniería de software (arquitectura y datos) con la gestión de proyectos (PMI), asegurando que el desarrollo sea trazable, organizado y capaz de mitigar riesgos de manera proactiva.</w:t>
            </w:r>
          </w:p>
        </w:tc>
      </w:tr>
    </w:tbl>
    <w:p w:rsidR="00000000" w:rsidDel="00000000" w:rsidP="00000000" w:rsidRDefault="00000000" w:rsidRPr="00000000" w14:paraId="0000001B">
      <w:pPr>
        <w:spacing w:after="0" w:line="276" w:lineRule="auto"/>
        <w:rPr>
          <w:color w:val="595959"/>
          <w:sz w:val="24"/>
          <w:szCs w:val="24"/>
        </w:rPr>
      </w:pPr>
      <w:r w:rsidDel="00000000" w:rsidR="00000000" w:rsidRPr="00000000">
        <w:rPr>
          <w:rtl w:val="0"/>
        </w:rPr>
      </w:r>
    </w:p>
    <w:sdt>
      <w:sdtPr>
        <w:lock w:val="contentLocked"/>
        <w:id w:val="-1647927821"/>
        <w:tag w:val="goog_rdk_0"/>
      </w:sdtPr>
      <w:sdtContent>
        <w:tbl>
          <w:tblPr>
            <w:tblStyle w:val="Table2"/>
            <w:tblW w:w="9070.866141732284"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133.8582677165355"/>
            <w:gridCol w:w="1133.8582677165355"/>
            <w:gridCol w:w="1133.8582677165355"/>
            <w:gridCol w:w="1133.8582677165355"/>
            <w:gridCol w:w="1133.8582677165355"/>
            <w:gridCol w:w="1133.8582677165355"/>
            <w:gridCol w:w="1133.8582677165355"/>
            <w:gridCol w:w="1133.8582677165355"/>
            <w:tblGridChange w:id="0">
              <w:tblGrid>
                <w:gridCol w:w="1133.8582677165355"/>
                <w:gridCol w:w="1133.8582677165355"/>
                <w:gridCol w:w="1133.8582677165355"/>
                <w:gridCol w:w="1133.8582677165355"/>
                <w:gridCol w:w="1133.8582677165355"/>
                <w:gridCol w:w="1133.8582677165355"/>
                <w:gridCol w:w="1133.8582677165355"/>
                <w:gridCol w:w="1133.8582677165355"/>
              </w:tblGrid>
            </w:tblGridChange>
          </w:tblGrid>
          <w:tr>
            <w:trPr>
              <w:cantSplit w:val="0"/>
              <w:trHeight w:val="480" w:hRule="atLeast"/>
              <w:tblHeader w:val="1"/>
            </w:trPr>
            <w:tc>
              <w:tcPr>
                <w:gridSpan w:val="8"/>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1"/>
            </w:trPr>
            <w:tc>
              <w:tcPr>
                <w:gridSpan w:val="8"/>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Plan de Trabajo</w:t>
                </w:r>
              </w:p>
            </w:tc>
          </w:tr>
          <w:tr>
            <w:trPr>
              <w:cantSplit w:val="0"/>
              <w:tblHeader w:val="1"/>
            </w:trPr>
            <w:tc>
              <w:tcPr>
                <w:vAlign w:val="center"/>
              </w:tcPr>
              <w:p w:rsidR="00000000" w:rsidDel="00000000" w:rsidP="00000000" w:rsidRDefault="00000000" w:rsidRPr="00000000" w14:paraId="0000002C">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Ajustes</w:t>
                </w:r>
              </w:p>
            </w:tc>
          </w:tr>
          <w:tr>
            <w:trPr>
              <w:cantSplit w:val="1"/>
              <w:tblHeader w:val="0"/>
            </w:trPr>
            <w:tc>
              <w:tcPr/>
              <w:p w:rsidR="00000000" w:rsidDel="00000000" w:rsidP="00000000" w:rsidRDefault="00000000" w:rsidRPr="00000000" w14:paraId="00000034">
                <w:pPr>
                  <w:rPr>
                    <w:color w:val="548dd4"/>
                    <w:sz w:val="18"/>
                    <w:szCs w:val="18"/>
                  </w:rPr>
                </w:pPr>
                <w:r w:rsidDel="00000000" w:rsidR="00000000" w:rsidRPr="00000000">
                  <w:rPr>
                    <w:color w:val="548dd4"/>
                    <w:sz w:val="18"/>
                    <w:szCs w:val="18"/>
                    <w:rtl w:val="0"/>
                  </w:rPr>
                  <w:t xml:space="preserve">Gestión de Proyectos</w:t>
                </w:r>
              </w:p>
            </w:tc>
            <w:tc>
              <w:tcPr/>
              <w:p w:rsidR="00000000" w:rsidDel="00000000" w:rsidP="00000000" w:rsidRDefault="00000000" w:rsidRPr="00000000" w14:paraId="00000035">
                <w:pPr>
                  <w:rPr>
                    <w:color w:val="548dd4"/>
                    <w:sz w:val="18"/>
                    <w:szCs w:val="18"/>
                  </w:rPr>
                </w:pPr>
                <w:r w:rsidDel="00000000" w:rsidR="00000000" w:rsidRPr="00000000">
                  <w:rPr>
                    <w:color w:val="548dd4"/>
                    <w:sz w:val="18"/>
                    <w:szCs w:val="18"/>
                    <w:rtl w:val="0"/>
                  </w:rPr>
                  <w:t xml:space="preserve">Elaboración de Matriz RACI, Riesgos y Control de Cambios.</w:t>
                </w:r>
              </w:p>
            </w:tc>
            <w:tc>
              <w:tcPr/>
              <w:p w:rsidR="00000000" w:rsidDel="00000000" w:rsidP="00000000" w:rsidRDefault="00000000" w:rsidRPr="00000000" w14:paraId="00000036">
                <w:pPr>
                  <w:rPr>
                    <w:color w:val="548dd4"/>
                    <w:sz w:val="18"/>
                    <w:szCs w:val="18"/>
                  </w:rPr>
                </w:pPr>
                <w:r w:rsidDel="00000000" w:rsidR="00000000" w:rsidRPr="00000000">
                  <w:rPr>
                    <w:color w:val="548dd4"/>
                    <w:sz w:val="18"/>
                    <w:szCs w:val="18"/>
                    <w:rtl w:val="0"/>
                  </w:rPr>
                  <w:t xml:space="preserve">Documentos Excel, reuniones de coordinación.</w:t>
                </w:r>
              </w:p>
            </w:tc>
            <w:tc>
              <w:tcPr/>
              <w:p w:rsidR="00000000" w:rsidDel="00000000" w:rsidP="00000000" w:rsidRDefault="00000000" w:rsidRPr="00000000" w14:paraId="00000037">
                <w:pPr>
                  <w:rPr>
                    <w:color w:val="548dd4"/>
                    <w:sz w:val="18"/>
                    <w:szCs w:val="18"/>
                  </w:rPr>
                </w:pPr>
                <w:r w:rsidDel="00000000" w:rsidR="00000000" w:rsidRPr="00000000">
                  <w:rPr>
                    <w:color w:val="548dd4"/>
                    <w:sz w:val="18"/>
                    <w:szCs w:val="18"/>
                    <w:rtl w:val="0"/>
                  </w:rPr>
                  <w:t xml:space="preserve">3 días</w:t>
                </w:r>
              </w:p>
            </w:tc>
            <w:tc>
              <w:tcPr/>
              <w:p w:rsidR="00000000" w:rsidDel="00000000" w:rsidP="00000000" w:rsidRDefault="00000000" w:rsidRPr="00000000" w14:paraId="00000038">
                <w:pPr>
                  <w:rPr>
                    <w:color w:val="548dd4"/>
                    <w:sz w:val="18"/>
                    <w:szCs w:val="18"/>
                  </w:rPr>
                </w:pPr>
                <w:r w:rsidDel="00000000" w:rsidR="00000000" w:rsidRPr="00000000">
                  <w:rPr>
                    <w:color w:val="548dd4"/>
                    <w:sz w:val="18"/>
                    <w:szCs w:val="18"/>
                    <w:rtl w:val="0"/>
                  </w:rPr>
                  <w:t xml:space="preserve">Juan Miranda</w:t>
                </w:r>
              </w:p>
            </w:tc>
            <w:tc>
              <w:tcPr/>
              <w:p w:rsidR="00000000" w:rsidDel="00000000" w:rsidP="00000000" w:rsidRDefault="00000000" w:rsidRPr="00000000" w14:paraId="00000039">
                <w:pPr>
                  <w:rPr>
                    <w:color w:val="548dd4"/>
                    <w:sz w:val="18"/>
                    <w:szCs w:val="18"/>
                  </w:rPr>
                </w:pPr>
                <w:r w:rsidDel="00000000" w:rsidR="00000000" w:rsidRPr="00000000">
                  <w:rPr>
                    <w:color w:val="548dd4"/>
                    <w:sz w:val="18"/>
                    <w:szCs w:val="18"/>
                    <w:rtl w:val="0"/>
                  </w:rPr>
                  <w:t xml:space="preserve">Facilitó enormemente la distribución de cargas de trabajo.</w:t>
                </w:r>
              </w:p>
            </w:tc>
            <w:tc>
              <w:tcPr/>
              <w:p w:rsidR="00000000" w:rsidDel="00000000" w:rsidP="00000000" w:rsidRDefault="00000000" w:rsidRPr="00000000" w14:paraId="0000003A">
                <w:pPr>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3B">
                <w:pPr>
                  <w:rPr>
                    <w:color w:val="548dd4"/>
                    <w:sz w:val="18"/>
                    <w:szCs w:val="18"/>
                  </w:rPr>
                </w:pPr>
                <w:r w:rsidDel="00000000" w:rsidR="00000000" w:rsidRPr="00000000">
                  <w:rPr>
                    <w:color w:val="548dd4"/>
                    <w:sz w:val="18"/>
                    <w:szCs w:val="18"/>
                    <w:rtl w:val="0"/>
                  </w:rPr>
                  <w:t xml:space="preserve">Ninguno</w:t>
                </w:r>
              </w:p>
            </w:tc>
          </w:tr>
          <w:tr>
            <w:trPr>
              <w:cantSplit w:val="1"/>
              <w:tblHeader w:val="0"/>
            </w:trPr>
            <w:tc>
              <w:tcPr/>
              <w:p w:rsidR="00000000" w:rsidDel="00000000" w:rsidP="00000000" w:rsidRDefault="00000000" w:rsidRPr="00000000" w14:paraId="0000003C">
                <w:pPr>
                  <w:rPr>
                    <w:color w:val="548dd4"/>
                    <w:sz w:val="18"/>
                    <w:szCs w:val="18"/>
                  </w:rPr>
                </w:pPr>
                <w:r w:rsidDel="00000000" w:rsidR="00000000" w:rsidRPr="00000000">
                  <w:rPr>
                    <w:color w:val="548dd4"/>
                    <w:sz w:val="18"/>
                    <w:szCs w:val="18"/>
                    <w:rtl w:val="0"/>
                  </w:rPr>
                  <w:t xml:space="preserve">Modelado de Procesos</w:t>
                </w:r>
              </w:p>
            </w:tc>
            <w:tc>
              <w:tcPr/>
              <w:p w:rsidR="00000000" w:rsidDel="00000000" w:rsidP="00000000" w:rsidRDefault="00000000" w:rsidRPr="00000000" w14:paraId="0000003D">
                <w:pPr>
                  <w:rPr>
                    <w:color w:val="548dd4"/>
                    <w:sz w:val="18"/>
                    <w:szCs w:val="18"/>
                  </w:rPr>
                </w:pPr>
                <w:r w:rsidDel="00000000" w:rsidR="00000000" w:rsidRPr="00000000">
                  <w:rPr>
                    <w:color w:val="548dd4"/>
                    <w:sz w:val="18"/>
                    <w:szCs w:val="18"/>
                    <w:rtl w:val="0"/>
                  </w:rPr>
                  <w:t xml:space="preserve">Diseño de Documento de Procesos de Negocio (BPMN).</w:t>
                </w:r>
              </w:p>
            </w:tc>
            <w:tc>
              <w:tcPr/>
              <w:p w:rsidR="00000000" w:rsidDel="00000000" w:rsidP="00000000" w:rsidRDefault="00000000" w:rsidRPr="00000000" w14:paraId="0000003E">
                <w:pPr>
                  <w:rPr>
                    <w:color w:val="548dd4"/>
                    <w:sz w:val="18"/>
                    <w:szCs w:val="18"/>
                  </w:rPr>
                </w:pPr>
                <w:r w:rsidDel="00000000" w:rsidR="00000000" w:rsidRPr="00000000">
                  <w:rPr>
                    <w:color w:val="548dd4"/>
                    <w:sz w:val="18"/>
                    <w:szCs w:val="18"/>
                    <w:rtl w:val="0"/>
                  </w:rPr>
                  <w:t xml:space="preserve">Herramientas de diagramación (BPMN).</w:t>
                </w:r>
              </w:p>
            </w:tc>
            <w:tc>
              <w:tcPr/>
              <w:p w:rsidR="00000000" w:rsidDel="00000000" w:rsidP="00000000" w:rsidRDefault="00000000" w:rsidRPr="00000000" w14:paraId="0000003F">
                <w:pPr>
                  <w:rPr>
                    <w:color w:val="548dd4"/>
                    <w:sz w:val="18"/>
                    <w:szCs w:val="18"/>
                  </w:rPr>
                </w:pPr>
                <w:r w:rsidDel="00000000" w:rsidR="00000000" w:rsidRPr="00000000">
                  <w:rPr>
                    <w:color w:val="548dd4"/>
                    <w:sz w:val="18"/>
                    <w:szCs w:val="18"/>
                    <w:rtl w:val="0"/>
                  </w:rPr>
                  <w:t xml:space="preserve">3 días</w:t>
                </w:r>
              </w:p>
            </w:tc>
            <w:tc>
              <w:tcPr/>
              <w:p w:rsidR="00000000" w:rsidDel="00000000" w:rsidP="00000000" w:rsidRDefault="00000000" w:rsidRPr="00000000" w14:paraId="00000040">
                <w:pPr>
                  <w:rPr>
                    <w:color w:val="548dd4"/>
                    <w:sz w:val="18"/>
                    <w:szCs w:val="18"/>
                  </w:rPr>
                </w:pPr>
                <w:r w:rsidDel="00000000" w:rsidR="00000000" w:rsidRPr="00000000">
                  <w:rPr>
                    <w:color w:val="548dd4"/>
                    <w:sz w:val="18"/>
                    <w:szCs w:val="18"/>
                    <w:rtl w:val="0"/>
                  </w:rPr>
                  <w:t xml:space="preserve">Francisco González / Enrique Sánchez</w:t>
                </w:r>
              </w:p>
            </w:tc>
            <w:tc>
              <w:tcPr/>
              <w:p w:rsidR="00000000" w:rsidDel="00000000" w:rsidP="00000000" w:rsidRDefault="00000000" w:rsidRPr="00000000" w14:paraId="00000041">
                <w:pPr>
                  <w:rPr>
                    <w:color w:val="548dd4"/>
                    <w:sz w:val="18"/>
                    <w:szCs w:val="18"/>
                  </w:rPr>
                </w:pPr>
                <w:r w:rsidDel="00000000" w:rsidR="00000000" w:rsidRPr="00000000">
                  <w:rPr>
                    <w:color w:val="548dd4"/>
                    <w:sz w:val="18"/>
                    <w:szCs w:val="18"/>
                    <w:rtl w:val="0"/>
                  </w:rPr>
                  <w:t xml:space="preserve">Clarificó el flujo exacto de la pasarela de pagos.</w:t>
                </w:r>
              </w:p>
            </w:tc>
            <w:tc>
              <w:tcPr/>
              <w:p w:rsidR="00000000" w:rsidDel="00000000" w:rsidP="00000000" w:rsidRDefault="00000000" w:rsidRPr="00000000" w14:paraId="00000042">
                <w:pPr>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43">
                <w:pPr>
                  <w:rPr>
                    <w:color w:val="548dd4"/>
                    <w:sz w:val="18"/>
                    <w:szCs w:val="18"/>
                  </w:rPr>
                </w:pPr>
                <w:r w:rsidDel="00000000" w:rsidR="00000000" w:rsidRPr="00000000">
                  <w:rPr>
                    <w:color w:val="548dd4"/>
                    <w:sz w:val="18"/>
                    <w:szCs w:val="18"/>
                    <w:rtl w:val="0"/>
                  </w:rPr>
                  <w:t xml:space="preserve">Ninguno</w:t>
                </w:r>
              </w:p>
            </w:tc>
          </w:tr>
          <w:tr>
            <w:trPr>
              <w:cantSplit w:val="1"/>
              <w:tblHeader w:val="0"/>
            </w:trPr>
            <w:tc>
              <w:tcPr/>
              <w:p w:rsidR="00000000" w:rsidDel="00000000" w:rsidP="00000000" w:rsidRDefault="00000000" w:rsidRPr="00000000" w14:paraId="00000044">
                <w:pPr>
                  <w:rPr>
                    <w:color w:val="548dd4"/>
                    <w:sz w:val="18"/>
                    <w:szCs w:val="18"/>
                  </w:rPr>
                </w:pPr>
                <w:r w:rsidDel="00000000" w:rsidR="00000000" w:rsidRPr="00000000">
                  <w:rPr>
                    <w:color w:val="548dd4"/>
                    <w:sz w:val="18"/>
                    <w:szCs w:val="18"/>
                    <w:rtl w:val="0"/>
                  </w:rPr>
                  <w:t xml:space="preserve">Arquitectura de Software y Datos</w:t>
                </w:r>
              </w:p>
            </w:tc>
            <w:tc>
              <w:tcPr/>
              <w:p w:rsidR="00000000" w:rsidDel="00000000" w:rsidP="00000000" w:rsidRDefault="00000000" w:rsidRPr="00000000" w14:paraId="00000045">
                <w:pPr>
                  <w:rPr>
                    <w:color w:val="548dd4"/>
                    <w:sz w:val="18"/>
                    <w:szCs w:val="18"/>
                  </w:rPr>
                </w:pPr>
                <w:r w:rsidDel="00000000" w:rsidR="00000000" w:rsidRPr="00000000">
                  <w:rPr>
                    <w:color w:val="548dd4"/>
                    <w:sz w:val="18"/>
                    <w:szCs w:val="18"/>
                    <w:rtl w:val="0"/>
                  </w:rPr>
                  <w:t xml:space="preserve">Elaboración del DAS, Diagramas y Diccionario de Datos (32 tablas).</w:t>
                </w:r>
              </w:p>
            </w:tc>
            <w:tc>
              <w:tcPr/>
              <w:p w:rsidR="00000000" w:rsidDel="00000000" w:rsidP="00000000" w:rsidRDefault="00000000" w:rsidRPr="00000000" w14:paraId="00000046">
                <w:pPr>
                  <w:rPr>
                    <w:color w:val="548dd4"/>
                    <w:sz w:val="18"/>
                    <w:szCs w:val="18"/>
                  </w:rPr>
                </w:pPr>
                <w:r w:rsidDel="00000000" w:rsidR="00000000" w:rsidRPr="00000000">
                  <w:rPr>
                    <w:color w:val="548dd4"/>
                    <w:sz w:val="18"/>
                    <w:szCs w:val="18"/>
                    <w:rtl w:val="0"/>
                  </w:rPr>
                  <w:t xml:space="preserve">Herramientas UML, modelo relacional.</w:t>
                </w:r>
              </w:p>
            </w:tc>
            <w:tc>
              <w:tcPr/>
              <w:p w:rsidR="00000000" w:rsidDel="00000000" w:rsidP="00000000" w:rsidRDefault="00000000" w:rsidRPr="00000000" w14:paraId="00000047">
                <w:pPr>
                  <w:rPr>
                    <w:color w:val="548dd4"/>
                    <w:sz w:val="18"/>
                    <w:szCs w:val="18"/>
                  </w:rPr>
                </w:pPr>
                <w:r w:rsidDel="00000000" w:rsidR="00000000" w:rsidRPr="00000000">
                  <w:rPr>
                    <w:color w:val="548dd4"/>
                    <w:sz w:val="18"/>
                    <w:szCs w:val="18"/>
                    <w:rtl w:val="0"/>
                  </w:rPr>
                  <w:t xml:space="preserve">5 días</w:t>
                </w:r>
              </w:p>
            </w:tc>
            <w:tc>
              <w:tcPr/>
              <w:p w:rsidR="00000000" w:rsidDel="00000000" w:rsidP="00000000" w:rsidRDefault="00000000" w:rsidRPr="00000000" w14:paraId="00000048">
                <w:pPr>
                  <w:rPr>
                    <w:color w:val="548dd4"/>
                    <w:sz w:val="18"/>
                    <w:szCs w:val="18"/>
                  </w:rPr>
                </w:pPr>
                <w:r w:rsidDel="00000000" w:rsidR="00000000" w:rsidRPr="00000000">
                  <w:rPr>
                    <w:color w:val="548dd4"/>
                    <w:sz w:val="18"/>
                    <w:szCs w:val="18"/>
                    <w:rtl w:val="0"/>
                  </w:rPr>
                  <w:t xml:space="preserve">Matías Pizarro / Juan Miranda / Francisco Lobos</w:t>
                </w:r>
              </w:p>
            </w:tc>
            <w:tc>
              <w:tcPr/>
              <w:p w:rsidR="00000000" w:rsidDel="00000000" w:rsidP="00000000" w:rsidRDefault="00000000" w:rsidRPr="00000000" w14:paraId="00000049">
                <w:pPr>
                  <w:rPr>
                    <w:color w:val="548dd4"/>
                    <w:sz w:val="18"/>
                    <w:szCs w:val="18"/>
                  </w:rPr>
                </w:pPr>
                <w:r w:rsidDel="00000000" w:rsidR="00000000" w:rsidRPr="00000000">
                  <w:rPr>
                    <w:color w:val="548dd4"/>
                    <w:sz w:val="18"/>
                    <w:szCs w:val="18"/>
                    <w:rtl w:val="0"/>
                  </w:rPr>
                  <w:t xml:space="preserve">Alta complejidad técnica al estructurar las tablas de inventario y reservas.</w:t>
                </w:r>
              </w:p>
            </w:tc>
            <w:tc>
              <w:tcPr/>
              <w:p w:rsidR="00000000" w:rsidDel="00000000" w:rsidP="00000000" w:rsidRDefault="00000000" w:rsidRPr="00000000" w14:paraId="0000004A">
                <w:pPr>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4B">
                <w:pPr>
                  <w:rPr>
                    <w:color w:val="548dd4"/>
                    <w:sz w:val="18"/>
                    <w:szCs w:val="18"/>
                  </w:rPr>
                </w:pPr>
                <w:r w:rsidDel="00000000" w:rsidR="00000000" w:rsidRPr="00000000">
                  <w:rPr>
                    <w:color w:val="548dd4"/>
                    <w:sz w:val="18"/>
                    <w:szCs w:val="18"/>
                    <w:rtl w:val="0"/>
                  </w:rPr>
                  <w:t xml:space="preserve">Ninguno</w:t>
                </w:r>
              </w:p>
            </w:tc>
          </w:tr>
          <w:tr>
            <w:trPr>
              <w:cantSplit w:val="1"/>
              <w:tblHeader w:val="0"/>
            </w:trPr>
            <w:tc>
              <w:tcPr/>
              <w:p w:rsidR="00000000" w:rsidDel="00000000" w:rsidP="00000000" w:rsidRDefault="00000000" w:rsidRPr="00000000" w14:paraId="0000004C">
                <w:pPr>
                  <w:rPr>
                    <w:color w:val="548dd4"/>
                    <w:sz w:val="18"/>
                    <w:szCs w:val="18"/>
                  </w:rPr>
                </w:pPr>
                <w:r w:rsidDel="00000000" w:rsidR="00000000" w:rsidRPr="00000000">
                  <w:rPr>
                    <w:color w:val="548dd4"/>
                    <w:sz w:val="18"/>
                    <w:szCs w:val="18"/>
                    <w:rtl w:val="0"/>
                  </w:rPr>
                  <w:t xml:space="preserve">Diseño de Interfaces (UI/UX)</w:t>
                </w:r>
              </w:p>
            </w:tc>
            <w:tc>
              <w:tcPr/>
              <w:p w:rsidR="00000000" w:rsidDel="00000000" w:rsidP="00000000" w:rsidRDefault="00000000" w:rsidRPr="00000000" w14:paraId="0000004D">
                <w:pPr>
                  <w:rPr>
                    <w:color w:val="548dd4"/>
                    <w:sz w:val="18"/>
                    <w:szCs w:val="18"/>
                  </w:rPr>
                </w:pPr>
                <w:r w:rsidDel="00000000" w:rsidR="00000000" w:rsidRPr="00000000">
                  <w:rPr>
                    <w:color w:val="548dd4"/>
                    <w:sz w:val="18"/>
                    <w:szCs w:val="18"/>
                    <w:rtl w:val="0"/>
                  </w:rPr>
                  <w:t xml:space="preserve">Creación de Prototipos visuales (Mockups).</w:t>
                </w:r>
              </w:p>
            </w:tc>
            <w:tc>
              <w:tcPr/>
              <w:p w:rsidR="00000000" w:rsidDel="00000000" w:rsidP="00000000" w:rsidRDefault="00000000" w:rsidRPr="00000000" w14:paraId="0000004E">
                <w:pPr>
                  <w:rPr>
                    <w:color w:val="548dd4"/>
                    <w:sz w:val="18"/>
                    <w:szCs w:val="18"/>
                  </w:rPr>
                </w:pPr>
                <w:r w:rsidDel="00000000" w:rsidR="00000000" w:rsidRPr="00000000">
                  <w:rPr>
                    <w:color w:val="548dd4"/>
                    <w:sz w:val="18"/>
                    <w:szCs w:val="18"/>
                    <w:rtl w:val="0"/>
                  </w:rPr>
                  <w:t xml:space="preserve">Figma, componentes shadcn/ui.</w:t>
                </w:r>
              </w:p>
            </w:tc>
            <w:tc>
              <w:tcPr/>
              <w:p w:rsidR="00000000" w:rsidDel="00000000" w:rsidP="00000000" w:rsidRDefault="00000000" w:rsidRPr="00000000" w14:paraId="0000004F">
                <w:pPr>
                  <w:rPr>
                    <w:color w:val="548dd4"/>
                    <w:sz w:val="18"/>
                    <w:szCs w:val="18"/>
                  </w:rPr>
                </w:pPr>
                <w:r w:rsidDel="00000000" w:rsidR="00000000" w:rsidRPr="00000000">
                  <w:rPr>
                    <w:color w:val="548dd4"/>
                    <w:sz w:val="18"/>
                    <w:szCs w:val="18"/>
                    <w:rtl w:val="0"/>
                  </w:rPr>
                  <w:t xml:space="preserve">4 días</w:t>
                </w:r>
              </w:p>
            </w:tc>
            <w:tc>
              <w:tcPr/>
              <w:p w:rsidR="00000000" w:rsidDel="00000000" w:rsidP="00000000" w:rsidRDefault="00000000" w:rsidRPr="00000000" w14:paraId="00000050">
                <w:pPr>
                  <w:rPr>
                    <w:color w:val="548dd4"/>
                    <w:sz w:val="18"/>
                    <w:szCs w:val="18"/>
                  </w:rPr>
                </w:pPr>
                <w:r w:rsidDel="00000000" w:rsidR="00000000" w:rsidRPr="00000000">
                  <w:rPr>
                    <w:color w:val="548dd4"/>
                    <w:sz w:val="18"/>
                    <w:szCs w:val="18"/>
                    <w:rtl w:val="0"/>
                  </w:rPr>
                  <w:t xml:space="preserve">Enrique Sánchez / Juan Miranda</w:t>
                </w:r>
              </w:p>
            </w:tc>
            <w:tc>
              <w:tcPr/>
              <w:p w:rsidR="00000000" w:rsidDel="00000000" w:rsidP="00000000" w:rsidRDefault="00000000" w:rsidRPr="00000000" w14:paraId="00000051">
                <w:pPr>
                  <w:rPr>
                    <w:color w:val="548dd4"/>
                    <w:sz w:val="18"/>
                    <w:szCs w:val="18"/>
                  </w:rPr>
                </w:pPr>
                <w:r w:rsidDel="00000000" w:rsidR="00000000" w:rsidRPr="00000000">
                  <w:rPr>
                    <w:color w:val="548dd4"/>
                    <w:sz w:val="18"/>
                    <w:szCs w:val="18"/>
                    <w:rtl w:val="0"/>
                  </w:rPr>
                  <w:t xml:space="preserve">Se priorizó el enfoque "mobile-first" para la app en terreno.</w:t>
                </w:r>
              </w:p>
            </w:tc>
            <w:tc>
              <w:tcPr/>
              <w:p w:rsidR="00000000" w:rsidDel="00000000" w:rsidP="00000000" w:rsidRDefault="00000000" w:rsidRPr="00000000" w14:paraId="00000052">
                <w:pPr>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53">
                <w:pPr>
                  <w:rPr>
                    <w:color w:val="548dd4"/>
                    <w:sz w:val="18"/>
                    <w:szCs w:val="18"/>
                  </w:rPr>
                </w:pPr>
                <w:r w:rsidDel="00000000" w:rsidR="00000000" w:rsidRPr="00000000">
                  <w:rPr>
                    <w:color w:val="548dd4"/>
                    <w:sz w:val="18"/>
                    <w:szCs w:val="18"/>
                    <w:rtl w:val="0"/>
                  </w:rPr>
                  <w:t xml:space="preserve">Ninguno</w:t>
                </w:r>
              </w:p>
            </w:tc>
          </w:tr>
          <w:tr>
            <w:trPr>
              <w:cantSplit w:val="1"/>
              <w:tblHeader w:val="0"/>
            </w:trPr>
            <w:tc>
              <w:tcPr/>
              <w:p w:rsidR="00000000" w:rsidDel="00000000" w:rsidP="00000000" w:rsidRDefault="00000000" w:rsidRPr="00000000" w14:paraId="00000054">
                <w:pPr>
                  <w:rPr>
                    <w:color w:val="548dd4"/>
                    <w:sz w:val="18"/>
                    <w:szCs w:val="18"/>
                  </w:rPr>
                </w:pPr>
                <w:r w:rsidDel="00000000" w:rsidR="00000000" w:rsidRPr="00000000">
                  <w:rPr>
                    <w:color w:val="548dd4"/>
                    <w:sz w:val="18"/>
                    <w:szCs w:val="18"/>
                    <w:rtl w:val="0"/>
                  </w:rPr>
                  <w:t xml:space="preserve">Construcción de Software</w:t>
                </w:r>
              </w:p>
            </w:tc>
            <w:tc>
              <w:tcPr/>
              <w:p w:rsidR="00000000" w:rsidDel="00000000" w:rsidP="00000000" w:rsidRDefault="00000000" w:rsidRPr="00000000" w14:paraId="00000055">
                <w:pPr>
                  <w:rPr>
                    <w:color w:val="548dd4"/>
                    <w:sz w:val="18"/>
                    <w:szCs w:val="18"/>
                  </w:rPr>
                </w:pPr>
                <w:r w:rsidDel="00000000" w:rsidR="00000000" w:rsidRPr="00000000">
                  <w:rPr>
                    <w:color w:val="548dd4"/>
                    <w:sz w:val="18"/>
                    <w:szCs w:val="18"/>
                    <w:rtl w:val="0"/>
                  </w:rPr>
                  <w:t xml:space="preserve">Desarrollo de módulos de Autenticación, Atención, Pagos, Inventario, etc.</w:t>
                </w:r>
              </w:p>
            </w:tc>
            <w:tc>
              <w:tcPr/>
              <w:p w:rsidR="00000000" w:rsidDel="00000000" w:rsidP="00000000" w:rsidRDefault="00000000" w:rsidRPr="00000000" w14:paraId="00000056">
                <w:pPr>
                  <w:rPr>
                    <w:color w:val="548dd4"/>
                    <w:sz w:val="18"/>
                    <w:szCs w:val="18"/>
                  </w:rPr>
                </w:pPr>
                <w:r w:rsidDel="00000000" w:rsidR="00000000" w:rsidRPr="00000000">
                  <w:rPr>
                    <w:color w:val="548dd4"/>
                    <w:sz w:val="18"/>
                    <w:szCs w:val="18"/>
                    <w:rtl w:val="0"/>
                  </w:rPr>
                  <w:t xml:space="preserve">TanStack Start, Docker, Clerk, PostgreSQL.</w:t>
                </w:r>
              </w:p>
            </w:tc>
            <w:tc>
              <w:tcPr/>
              <w:p w:rsidR="00000000" w:rsidDel="00000000" w:rsidP="00000000" w:rsidRDefault="00000000" w:rsidRPr="00000000" w14:paraId="00000057">
                <w:pPr>
                  <w:rPr>
                    <w:color w:val="548dd4"/>
                    <w:sz w:val="18"/>
                    <w:szCs w:val="18"/>
                  </w:rPr>
                </w:pPr>
                <w:r w:rsidDel="00000000" w:rsidR="00000000" w:rsidRPr="00000000">
                  <w:rPr>
                    <w:color w:val="548dd4"/>
                    <w:sz w:val="18"/>
                    <w:szCs w:val="18"/>
                    <w:rtl w:val="0"/>
                  </w:rPr>
                  <w:t xml:space="preserve">37 días</w:t>
                </w:r>
              </w:p>
            </w:tc>
            <w:tc>
              <w:tcPr/>
              <w:p w:rsidR="00000000" w:rsidDel="00000000" w:rsidP="00000000" w:rsidRDefault="00000000" w:rsidRPr="00000000" w14:paraId="00000058">
                <w:pPr>
                  <w:rPr>
                    <w:color w:val="548dd4"/>
                    <w:sz w:val="18"/>
                    <w:szCs w:val="18"/>
                  </w:rPr>
                </w:pPr>
                <w:r w:rsidDel="00000000" w:rsidR="00000000" w:rsidRPr="00000000">
                  <w:rPr>
                    <w:color w:val="548dd4"/>
                    <w:sz w:val="18"/>
                    <w:szCs w:val="18"/>
                    <w:rtl w:val="0"/>
                  </w:rPr>
                  <w:t xml:space="preserve">Francisco Lobos / Matías Pizarro</w:t>
                </w:r>
              </w:p>
            </w:tc>
            <w:tc>
              <w:tcPr/>
              <w:p w:rsidR="00000000" w:rsidDel="00000000" w:rsidP="00000000" w:rsidRDefault="00000000" w:rsidRPr="00000000" w14:paraId="00000059">
                <w:pPr>
                  <w:rPr>
                    <w:color w:val="548dd4"/>
                    <w:sz w:val="18"/>
                    <w:szCs w:val="18"/>
                  </w:rPr>
                </w:pPr>
                <w:r w:rsidDel="00000000" w:rsidR="00000000" w:rsidRPr="00000000">
                  <w:rPr>
                    <w:color w:val="548dd4"/>
                    <w:sz w:val="18"/>
                    <w:szCs w:val="18"/>
                    <w:rtl w:val="0"/>
                  </w:rPr>
                  <w:t xml:space="preserve">Dependencia de las credenciales sandbox para integraciones.</w:t>
                </w:r>
              </w:p>
            </w:tc>
            <w:tc>
              <w:tcPr/>
              <w:p w:rsidR="00000000" w:rsidDel="00000000" w:rsidP="00000000" w:rsidRDefault="00000000" w:rsidRPr="00000000" w14:paraId="0000005A">
                <w:pPr>
                  <w:rPr>
                    <w:color w:val="548dd4"/>
                    <w:sz w:val="18"/>
                    <w:szCs w:val="18"/>
                  </w:rPr>
                </w:pPr>
                <w:r w:rsidDel="00000000" w:rsidR="00000000" w:rsidRPr="00000000">
                  <w:rPr>
                    <w:color w:val="548dd4"/>
                    <w:sz w:val="18"/>
                    <w:szCs w:val="18"/>
                    <w:rtl w:val="0"/>
                  </w:rPr>
                  <w:t xml:space="preserve">Iniciado</w:t>
                </w:r>
              </w:p>
            </w:tc>
            <w:tc>
              <w:tcPr/>
              <w:p w:rsidR="00000000" w:rsidDel="00000000" w:rsidP="00000000" w:rsidRDefault="00000000" w:rsidRPr="00000000" w14:paraId="0000005B">
                <w:pPr>
                  <w:rPr>
                    <w:color w:val="548dd4"/>
                    <w:sz w:val="18"/>
                    <w:szCs w:val="18"/>
                  </w:rPr>
                </w:pPr>
                <w:r w:rsidDel="00000000" w:rsidR="00000000" w:rsidRPr="00000000">
                  <w:rPr>
                    <w:color w:val="548dd4"/>
                    <w:sz w:val="18"/>
                    <w:szCs w:val="18"/>
                    <w:rtl w:val="0"/>
                  </w:rPr>
                  <w:t xml:space="preserve">Continuando el desarrollo de acuerdo a los plazos establecidos</w:t>
                </w:r>
              </w:p>
            </w:tc>
          </w:tr>
        </w:tbl>
      </w:sdtContent>
    </w:sdt>
    <w:p w:rsidR="00000000" w:rsidDel="00000000" w:rsidP="00000000" w:rsidRDefault="00000000" w:rsidRPr="00000000" w14:paraId="0000005C">
      <w:pPr>
        <w:rPr>
          <w:color w:val="595959"/>
          <w:sz w:val="24"/>
          <w:szCs w:val="24"/>
        </w:rPr>
      </w:pPr>
      <w:r w:rsidDel="00000000" w:rsidR="00000000" w:rsidRPr="00000000">
        <w:rPr>
          <w:rtl w:val="0"/>
        </w:rPr>
      </w:r>
    </w:p>
    <w:tbl>
      <w:tblPr>
        <w:tblStyle w:val="Table3"/>
        <w:tblW w:w="9070.866141732284"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70.866141732284"/>
        <w:tblGridChange w:id="0">
          <w:tblGrid>
            <w:gridCol w:w="9070.866141732284"/>
          </w:tblGrid>
        </w:tblGridChange>
      </w:tblGrid>
      <w:tr>
        <w:trPr>
          <w:cantSplit w:val="1"/>
          <w:trHeight w:val="440" w:hRule="atLeast"/>
          <w:tblHeader w:val="1"/>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1"/>
          <w:trHeight w:val="800" w:hRule="atLeast"/>
          <w:tblHeader w:val="1"/>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4"/>
        <w:tblW w:w="9070.866141732284"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70.866141732284"/>
        <w:tblGridChange w:id="0">
          <w:tblGrid>
            <w:gridCol w:w="9070.866141732284"/>
          </w:tblGrid>
        </w:tblGridChange>
      </w:tblGrid>
      <w:tr>
        <w:trPr>
          <w:cantSplit w:val="1"/>
          <w:trHeight w:val="1936" w:hRule="atLeast"/>
          <w:tblHeader w:val="0"/>
        </w:trPr>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Un gran aliado en este proceso ha sido la implementación temprana de la Matriz RACI. Al tener a los cinco integrantes (Juan, Francisco Lobos, Matías, Enrique y Francisco Gonzalez) con roles y responsabilidades bien definidos, logramos evitar la duplicidad de esfuerzos y acelerar la entrega del Diccionario de Datos y los Mockups.</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Sin embargo, nos encontramos con una dificultad significativa durante la evaluación de la Matriz de Riesgos y el Modelo de Procesos de Negocio: la inestabilidad de la red en terreno para los veterinarios. Esto ponía en riesgo el módulo de Atenciones y la reducción del Inventario. Para abordar este problema, definimos acciones de mitigación precisas en la arquitectura, incorporando Zustand para gestionar un modo offline temporal en el dispositivo móvil, lo que nos permite sincronizar los datos una vez que la conexión se restablezca.</w:t>
            </w:r>
            <w:r w:rsidDel="00000000" w:rsidR="00000000" w:rsidRPr="00000000">
              <w:rPr>
                <w:rtl w:val="0"/>
              </w:rPr>
            </w:r>
          </w:p>
          <w:p w:rsidR="00000000" w:rsidDel="00000000" w:rsidP="00000000" w:rsidRDefault="00000000" w:rsidRPr="00000000" w14:paraId="0000006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5"/>
        <w:tblW w:w="9070.866141732284"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70.866141732284"/>
        <w:tblGridChange w:id="0">
          <w:tblGrid>
            <w:gridCol w:w="9070.866141732284"/>
          </w:tblGrid>
        </w:tblGridChange>
      </w:tblGrid>
      <w:tr>
        <w:trPr>
          <w:cantSplit w:val="1"/>
          <w:trHeight w:val="1936" w:hRule="atLeast"/>
          <w:tblHeader w:val="0"/>
        </w:trPr>
        <w:tc>
          <w:tcPr>
            <w:vAlign w:val="center"/>
          </w:tcPr>
          <w:p w:rsidR="00000000" w:rsidDel="00000000" w:rsidP="00000000" w:rsidRDefault="00000000" w:rsidRPr="00000000" w14:paraId="00000068">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No hemos eliminado ninguna actividad, ya que todas son cruciales para los entregables de Clínica FriendlyPets. Como parte de nuestro compromiso con la mejora continua, hemos activado formalmente la Matriz de Control de Cambios. Esto implica que cualquier ajuste futuro que surja por parte de la veterinaria pasará por un filtro de evaluación de impacto (horas vs costo) antes de modificar el plan de trabajo actual, protegiendo así nuestro cronograma y el presupuesto de $7.780.000 CLP.</w:t>
            </w:r>
          </w:p>
          <w:p w:rsidR="00000000" w:rsidDel="00000000" w:rsidP="00000000" w:rsidRDefault="00000000" w:rsidRPr="00000000" w14:paraId="0000006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070.866141732284"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70.866141732284"/>
        <w:tblGridChange w:id="0">
          <w:tblGrid>
            <w:gridCol w:w="9070.866141732284"/>
          </w:tblGrid>
        </w:tblGridChange>
      </w:tblGrid>
      <w:tr>
        <w:trPr>
          <w:cantSplit w:val="1"/>
          <w:trHeight w:val="1966" w:hRule="atLeast"/>
          <w:tblHeader w:val="0"/>
        </w:trPr>
        <w:tc>
          <w:tcPr>
            <w:vAlign w:val="center"/>
          </w:tcPr>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Hasta la fecha de este informe, no tenemos actividades retrasadas. Todas las tareas relacionadas con la planificación documental, levantamiento de procesos, bases de datos y arquitectura se han completado dentro de los plazos establecidos.</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9" w:type="default"/>
      <w:pgSz w:h="16838" w:w="11906" w:orient="portrait"/>
      <w:pgMar w:bottom="1417" w:top="1417" w:left="1133.8582677165355" w:right="1699.133858267717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0" w:lineRule="auto"/>
            <w:ind w:left="0" w:firstLine="566.9291338582675"/>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E">
          <w:pPr>
            <w:spacing w:after="0" w:lineRule="auto"/>
            <w:ind w:left="566.9291338582675" w:firstLine="0"/>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ind w:left="564.6850393700782" w:right="322.2047244094489" w:firstLine="0"/>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ZTiLAhFWukvRbDCId6trAwDoQ==">CgMxLjAaHwoBMBIaChgICVIUChJ0YWJsZS4xMTkyNGJ3MTJmZzAyDmguYWFqajY2dXN3NWtjOAByITFUdDdxWmF1SGRQakVsQlhSRk5xc1RvMDlrQTV6eFpCWQ==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