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Fabián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10/08/2026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AgroTech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975"/>
        <w:gridCol w:w="1560"/>
        <w:gridCol w:w="1575"/>
        <w:gridCol w:w="3240"/>
        <w:tblGridChange w:id="0">
          <w:tblGrid>
            <w:gridCol w:w="3975"/>
            <w:gridCol w:w="1560"/>
            <w:gridCol w:w="1575"/>
            <w:gridCol w:w="3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Sergio Baeza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IngeTeam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953696758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jc w:val="both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Sergio@ingeteam.com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Berrios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IngeTeam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967584838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jc w:val="both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Felipe@ingeteam.com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Marilyn Correa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IngeTeam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940302020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Marilyn@ingeteam.com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Otaiza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IngeTeam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910506037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Manuel@ingeteam.com</w:t>
            </w:r>
          </w:p>
        </w:tc>
      </w:tr>
      <w:tr>
        <w:trPr>
          <w:cantSplit w:val="0"/>
          <w:trHeight w:val="54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Fabian Quiroz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IngeTeam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1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947264859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1"/>
              <w:jc w:val="both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Fabian@ingeteam.com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avance del Sprint 1 enfocado en arquitectura documental, gestión y diseño técnico.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Auditoría y depuración final de la Planilla de Requerimientos (reducción de alcance a 27 ítems definitivos).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del modelo de arquitectura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Offline-First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ergonomía visual en Mockups y modelado de transacciones críticas en Casos de Uso Extendidos.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Cierre y aprobación formal de los 9 documentos para habilitar la fase de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reunión se centró en evaluar y formalizar los entregables estructurales de la primera fase del proyecto Agrotech. Se discutió y resolvió la finalización de los documentos solicitados, acordando una matriz definitiva de 27 requerimientos (19 funcionales y 8 no funcionales), priorizando un sistema ágil y robusto para campo.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analizó la arquitectura del sistema, para garantizar la operatividad en potreros sin conexión a internet.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Asimismo, se revisaron y aprobaron los Mockups bajo criterios de ergonomía agrícola (alto contraste solar y botones de gran formato) y se validó la Especificación de Requisitos de Software (ERS) junto con la Matriz EDT y la Carta Gantt.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Alcance y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Congelar la Planilla de Requerimientos en 27 ítems oficiales. No se aceptarán nuevos requerimientos funcionales sin control de cambios. </w:t>
            </w:r>
          </w:p>
        </w:tc>
      </w:tr>
      <w:tr>
        <w:trPr>
          <w:cantSplit w:val="0"/>
          <w:trHeight w:val="632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Estándar de Arquitectura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highlight w:val="yellow"/>
                <w:rtl w:val="0"/>
              </w:rPr>
              <w:t xml:space="preserve">Oficializar el stack tecnológico: Frontend en Flutter, persistencia local en SQLite y Backend Cloud en Supabase (PostgreSQL + Python FastAPI).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Diseño UI/UX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Aprobar los Mockups diseñados en alto contraste y adaptativos (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Responsive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) para smartphones y tablets sin modificaciones adicionales.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Seguridad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Establecer como obligatorio el sistema de autentificación por cuenta.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Paso a Fase de Desarrollo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Dar por finalizada la etapa de ingeniería documental y autorizar el inicio de la programación y modelado de base de datos para el Sprint 2.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w8VKa2m2KpNp/jiNl3l3AB2Ng==">CgMxLjA4AHIhMUVaUnRBRHVJNEJySDk3eW55UzE4LVZBUjVadlZvSjZl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