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a3mrgy2czxt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Felipe Andrés Berríos Ovalle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4.999999999998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700"/>
        <w:gridCol w:w="1119"/>
        <w:gridCol w:w="1119"/>
        <w:gridCol w:w="1119"/>
        <w:gridCol w:w="1119"/>
        <w:gridCol w:w="1119"/>
        <w:gridCol w:w="1620"/>
        <w:tblGridChange w:id="0">
          <w:tblGrid>
            <w:gridCol w:w="2700"/>
            <w:gridCol w:w="1119"/>
            <w:gridCol w:w="1119"/>
            <w:gridCol w:w="1119"/>
            <w:gridCol w:w="1119"/>
            <w:gridCol w:w="1119"/>
            <w:gridCol w:w="162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dh61fuh2qg3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Gestionar proyectos informáticos, ofreciendo alternativas para la toma de decisiones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negocios,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Construir el modelo arquitectónico de una solución sistémica que soporte los procesos de negocio de acuerdo los requerimientos de la organización y estándares industriales.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Programar consultas o rutinas para manipular información de una base de datos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Implementar soluciones sistémicas integrales para automatizar y optimizar procesos de negocio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tUaM02wuiZOTFKKL8gd+eLZ1ZA==">CgMxLjAyDmguYmEzbXJneTJjenh0Mg5oLnBkaDYxZnVoMnFnMzgAciExajM3cFNDbHlQdzBYUThDTmtlLU4tMWpiMmV4YUI3alc=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