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Quori — Roadmap del Proyecto</w:t>
      </w:r>
    </w:p>
    <w:p>
      <w:pPr>
        <w:spacing w:after="200"/>
      </w:pPr>
      <w:r>
        <w:rPr>
          <w:i/>
          <w:color w:val="595959"/>
          <w:sz w:val="22"/>
        </w:rPr>
        <w:t>Plataforma de gestión para negocios de atención agendada · Rugrats Developers</w:t>
      </w:r>
    </w:p>
    <w:p>
      <w:pPr>
        <w:spacing w:after="120"/>
        <w:jc w:val="both"/>
      </w:pPr>
      <w:r>
        <w:rPr>
          <w:i w:val="0"/>
          <w:sz w:val="22"/>
        </w:rPr>
        <w:t>Este roadmap traza la ruta del proyecto en el semestre académico (25 de agosto al 11 de diciembre de 2026), organizado en cinco fases y seis sprints de desarrollo. El grueso del esfuerzo (61 %) se concentra en la Fase de Desarrollo, donde se construyen los nueve módulos comprometidos. La secuencia prioriza el núcleo —autenticación, configuración y el motor de disponibilidad— antes de los módulos que dependen de él.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65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b/>
          <w:color w:val="1F3864"/>
          <w:sz w:val="30"/>
        </w:rPr>
        <w:t>Fases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944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Fechas</w:t>
            </w:r>
          </w:p>
        </w:tc>
        <w:tc>
          <w:tcPr>
            <w:tcW w:type="dxa" w:w="1152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Jornadas</w:t>
            </w:r>
          </w:p>
        </w:tc>
        <w:tc>
          <w:tcPr>
            <w:tcW w:type="dxa" w:w="3816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Entregables clave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1. Planificación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25-08 → 06-09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3816"/>
          </w:tcPr>
          <w:p>
            <w:r/>
            <w:r>
              <w:rPr>
                <w:sz w:val="19"/>
              </w:rPr>
              <w:t>Acta de Constitución, requerimientos generales, organización del equipo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2. Análisis y Diseño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25-08 → 06-09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3816"/>
          </w:tcPr>
          <w:p>
            <w:r/>
            <w:r>
              <w:rPr>
                <w:sz w:val="19"/>
              </w:rPr>
              <w:t>ERS, arquitectura, casos de uso, prototipos (primer avance)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3. Desarrollo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08-09 → 20-11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113</w:t>
            </w:r>
          </w:p>
        </w:tc>
        <w:tc>
          <w:tcPr>
            <w:tcW w:type="dxa" w:w="3816"/>
          </w:tcPr>
          <w:p>
            <w:r/>
            <w:r>
              <w:rPr>
                <w:sz w:val="19"/>
              </w:rPr>
              <w:t>Ambiente, scripts PostgreSQL y los 9 módulos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4. Pruebas y QA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21-11 → 04-12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3816"/>
          </w:tcPr>
          <w:p>
            <w:r/>
            <w:r>
              <w:rPr>
                <w:sz w:val="19"/>
              </w:rPr>
              <w:t>Pruebas funcionales y pruebas con usuarios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5. Implementación y Cierre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05-12 → 11-12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3816"/>
          </w:tcPr>
          <w:p>
            <w:r/>
            <w:r>
              <w:rPr>
                <w:sz w:val="19"/>
              </w:rPr>
              <w:t>Migración a producción, manuales, capacitación, Acta de Cierre</w:t>
            </w:r>
          </w:p>
        </w:tc>
      </w:tr>
    </w:tbl>
    <w:p>
      <w:pPr>
        <w:spacing w:after="120"/>
        <w:jc w:val="both"/>
      </w:pPr>
      <w:r>
        <w:rPr>
          <w:i/>
          <w:color w:val="595959"/>
          <w:sz w:val="19"/>
        </w:rPr>
        <w:t>Las dos primeras fases se ejecutan de forma parcialmente solapada y ambas concluyen con la entrega del primer avance el 06-09-2026.</w:t>
      </w:r>
    </w:p>
    <w:p>
      <w:pPr>
        <w:spacing w:before="240" w:after="120"/>
      </w:pPr>
      <w:r>
        <w:rPr>
          <w:b/>
          <w:color w:val="1F3864"/>
          <w:sz w:val="30"/>
        </w:rPr>
        <w:t>Plan de sprints (Fase de Desarrollo)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24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944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Fechas aprox.</w:t>
            </w:r>
          </w:p>
        </w:tc>
        <w:tc>
          <w:tcPr>
            <w:tcW w:type="dxa" w:w="3024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Módulos / foco</w:t>
            </w:r>
          </w:p>
        </w:tc>
        <w:tc>
          <w:tcPr>
            <w:tcW w:type="dxa" w:w="3168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Historias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Sprint 1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08-09 → 19-09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Fundaciones + Autenticación y Seguridad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Modelo de datos, multi-tenant, registro, login, roles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Sprint 2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22-09 → 03-10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Configuración del Negocio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Perfil, servicios, recursos, atributos, horarios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Sprint 3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06-10 → 17-10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Agenda y Reservas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Motor de disponibilidad, citas, calendario, cierre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Sprint 4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20-10 → 31-10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Portal del Cliente + Notificaciones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Reserva pública, pagos, recordatorios y avisos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Sprint 5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03-11 → 14-11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Inventario e Insumos + Finanzas y Ficha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Insumos, consumo, ingresos/egresos, ficha</w:t>
            </w:r>
          </w:p>
        </w:tc>
      </w:tr>
      <w:tr>
        <w:tc>
          <w:tcPr>
            <w:tcW w:type="dxa" w:w="1224"/>
          </w:tcPr>
          <w:p>
            <w:r/>
            <w:r>
              <w:rPr>
                <w:sz w:val="19"/>
              </w:rPr>
              <w:t>Sprint 6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17-11 → 20-11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Administración + Reportes + estabilización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Cuentas, reportes, exportación, ajustes finales</w:t>
            </w:r>
          </w:p>
        </w:tc>
      </w:tr>
    </w:tbl>
    <w:p>
      <w:pPr>
        <w:spacing w:after="120"/>
        <w:jc w:val="both"/>
      </w:pPr>
      <w:r>
        <w:rPr>
          <w:i/>
          <w:color w:val="595959"/>
          <w:sz w:val="19"/>
        </w:rPr>
        <w:t>El detalle de cada historia, con su esfuerzo y prioridad, está en el Product Backlog (Pila de Producto).</w:t>
      </w:r>
    </w:p>
    <w:p>
      <w:pPr>
        <w:spacing w:before="240" w:after="120"/>
      </w:pPr>
      <w:r>
        <w:rPr>
          <w:b/>
          <w:color w:val="1F3864"/>
          <w:sz w:val="30"/>
        </w:rPr>
        <w:t>Hitos comprometidos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7632"/>
            <w:shd w:val="clear" w:fill="2E5A9C"/>
          </w:tcPr>
          <w:p>
            <w:r/>
            <w:r>
              <w:rPr>
                <w:b/>
                <w:color w:val="FFFFFF"/>
                <w:sz w:val="19"/>
              </w:rPr>
              <w:t>Hito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06-09-2026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Aprobación del Acta y entrega del primer avance (ERS, arquitectura, casos de uso, prototipos)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20-11-2026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Término de la Fase de Desarrollo: nueve módulos implementados e integrados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04-12-2026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Término de la Fase de Pruebas y QA (≥ 95 % de casos aprobados, sin defectos críticos)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11-12-2026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Entrega final, migración a producción y firma del Acta de Cierre</w:t>
            </w:r>
          </w:p>
        </w:tc>
      </w:tr>
    </w:tbl>
    <w:p>
      <w:pPr>
        <w:spacing w:before="240" w:after="120"/>
      </w:pPr>
      <w:r>
        <w:rPr>
          <w:b/>
          <w:color w:val="1F3864"/>
          <w:sz w:val="30"/>
        </w:rPr>
        <w:t>Más allá del MVP (evolución futura)</w:t>
      </w:r>
    </w:p>
    <w:p>
      <w:pPr>
        <w:spacing w:after="120"/>
        <w:jc w:val="both"/>
      </w:pPr>
      <w:r>
        <w:rPr>
          <w:i w:val="0"/>
          <w:sz w:val="22"/>
        </w:rPr>
        <w:t>Fuera del alcance de esta versión, el producto puede crecer hacia: aplicación móvil nativa para el trabajador; notificaciones por SMS o mensajería instantánea; procesamiento de pagos reales con conciliación y devoluciones; emisión de documentos tributarios e integración con el SII; módulo de fidelización (paquetes, descuentos, puntos); reservas recurrentes y listas de espera; panel de indicadores con proyección de demanda; soporte multi-sucursal; e internacionalización (idiomas, monedas y husos horarios).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