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portafolio</w:t>
      </w:r>
      <w:r w:rsidDel="00000000" w:rsidR="00000000" w:rsidRPr="00000000">
        <w:rPr>
          <w:rtl w:val="0"/>
        </w:rPr>
        <w:t xml:space="preserve"> que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considerar los siguientes puntos: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tabs>
          <w:tab w:val="left" w:leader="none" w:pos="2268"/>
        </w:tabs>
        <w:spacing w:before="120" w:lineRule="auto"/>
        <w:jc w:val="both"/>
        <w:rPr/>
      </w:pPr>
      <w:r w:rsidDel="00000000" w:rsidR="00000000" w:rsidRPr="00000000">
        <w:rPr>
          <w:rtl w:val="0"/>
        </w:rPr>
        <w:t xml:space="preserve">El clima laboral es la percepción que los colaboradores tienen sobre su entorno de trabajo, liderazgo, reconocimiento, carga laboral y oportunidades de desarrollo. Este factor es determinante en la rotación de personal, el ausentismo, la productividad y la capacidad de una organización para retener talento. En la actualidad, medir el clima organizacional de forma periódica ha dejado de ser una práctica opcional de Recursos Humanos para convertirse en una herramienta de gestión estratégica: lo que no se mide no se puede gestionar, y una organización que desconoce cómo se sienten sus equipos toma decisiones a ciegas.</w:t>
      </w:r>
    </w:p>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8">
      <w:pPr>
        <w:tabs>
          <w:tab w:val="left" w:leader="none" w:pos="2268"/>
        </w:tabs>
        <w:spacing w:before="120" w:lineRule="auto"/>
        <w:jc w:val="both"/>
        <w:rPr/>
      </w:pPr>
      <w:r w:rsidDel="00000000" w:rsidR="00000000" w:rsidRPr="00000000">
        <w:rPr>
          <w:rtl w:val="0"/>
        </w:rPr>
        <w:t xml:space="preserve">Actualmente, las empresas clientes (organizaciones objetivo de este sistema) gestionan la medición de su clima laboral mediante procesos manuales o plataformas genéricas. Se diseña un cuestionario anual y lo distribuye vía correo electrónico. Sin embargo, este proceso excluye operativamente a gran parte de la dotación (operarios, contratistas, personal en terreno) que no posee correo corporativo. Además, los resultados son tabulados manualmente, lo que retrasa la entrega de informes a las jefaturas de área, impidiendo una reacción oportuna. La desconexión entre la recolección de datos y la creación de planes de acción provoca que las encuestas se perciban como un trámite administrativo sin impacto real en la cultura de la empresa.</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1A">
      <w:pPr>
        <w:tabs>
          <w:tab w:val="left" w:leader="none" w:pos="2268"/>
        </w:tabs>
        <w:spacing w:before="120" w:lineRule="auto"/>
        <w:jc w:val="both"/>
        <w:rPr/>
      </w:pPr>
      <w:r w:rsidDel="00000000" w:rsidR="00000000" w:rsidRPr="00000000">
        <w:rPr>
          <w:rtl w:val="0"/>
        </w:rPr>
        <w:t xml:space="preserve">Las áreas de Recursos Humanos que desean medir el clima laboral y más que eso, a los riesgos psicológicos que están expuestos los trabajadores y deben medir, y hacer algo al respecto. Enfrentan barreras concretas. Las herramientas disponibles en el mercado suelen ser costosas, están pensadas exclusivamente para grandes corporativos y son difíciles de adaptar a la estructura jerárquica de cada organización</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C">
      <w:pPr>
        <w:tabs>
          <w:tab w:val="left" w:leader="none" w:pos="2268"/>
        </w:tabs>
        <w:spacing w:before="120" w:lineRule="auto"/>
        <w:jc w:val="both"/>
        <w:rPr/>
      </w:pPr>
      <w:r w:rsidDel="00000000" w:rsidR="00000000" w:rsidRPr="00000000">
        <w:rPr>
          <w:rtl w:val="0"/>
        </w:rPr>
        <w:t xml:space="preserve">El proyecto consiste en el desarrollo de una aplicación web multiempresa (SaaS) alojada en Google Cloud Platform, diseñada para la aplicación, gestión, seguimiento y análisis de encuestas de clima laboral. La plataforma resuelve la brecha operativa permitiendo un acceso de doble vía (enlace al correo para administrativos y validación por RUT más PIN). Garantiza el anonimato desacoplando estructuralmente la identidad del usuario de sus respuestas a nivel de base de datos, y aplicando un umbral mínimo de respuestas (ej. 10 colaboradores) para mostrar resultados en los reportes. Además, automatiza la entrega de resultados mediante dashboards diferenciados por rol (Gerencia, colaboradores y jefaturas).</w:t>
      </w:r>
    </w:p>
    <w:p w:rsidR="00000000" w:rsidDel="00000000" w:rsidP="00000000" w:rsidRDefault="00000000" w:rsidRPr="00000000" w14:paraId="0000001D">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1E">
      <w:pPr>
        <w:jc w:val="both"/>
        <w:rPr>
          <w:color w:val="00000a"/>
        </w:rPr>
      </w:pPr>
      <w:r w:rsidDel="00000000" w:rsidR="00000000" w:rsidRPr="00000000">
        <w:rPr>
          <w:color w:val="00000a"/>
          <w:rtl w:val="0"/>
        </w:rPr>
        <w:t xml:space="preserve">Adjuntos en excel.</w:t>
      </w:r>
    </w:p>
    <w:p w:rsidR="00000000" w:rsidDel="00000000" w:rsidP="00000000" w:rsidRDefault="00000000" w:rsidRPr="00000000" w14:paraId="0000001F">
      <w:pPr>
        <w:jc w:val="both"/>
        <w:rPr>
          <w:b w:val="1"/>
          <w:bCs w:val="1"/>
          <w:color w:val="00000a"/>
        </w:rPr>
      </w:pPr>
      <w:r w:rsidDel="00000000" w:rsidR="00000000" w:rsidRPr="00000000">
        <w:rPr>
          <w:b w:val="1"/>
          <w:bCs w:val="1"/>
          <w:color w:val="00000a"/>
          <w:rtl w:val="0"/>
        </w:rPr>
        <w:t xml:space="preserve">Casos de uso </w:t>
      </w:r>
    </w:p>
    <w:p w:rsidR="00000000" w:rsidDel="00000000" w:rsidP="00000000" w:rsidRDefault="00000000" w:rsidRPr="00000000" w14:paraId="00000020">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976"/>
        <w:gridCol w:w="2127"/>
        <w:gridCol w:w="3306"/>
        <w:tblGridChange w:id="0">
          <w:tblGrid>
            <w:gridCol w:w="1555"/>
            <w:gridCol w:w="2976"/>
            <w:gridCol w:w="2127"/>
            <w:gridCol w:w="3306"/>
          </w:tblGrid>
        </w:tblGridChange>
      </w:tblGrid>
      <w:tr>
        <w:trPr>
          <w:cantSplit w:val="0"/>
          <w:tblHeader w:val="0"/>
        </w:trPr>
        <w:tc>
          <w:tcPr/>
          <w:p w:rsidR="00000000" w:rsidDel="00000000" w:rsidP="00000000" w:rsidRDefault="00000000" w:rsidRPr="00000000" w14:paraId="00000021">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22">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23">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24">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Iniciar sesión en la plataforma (RUT+PIN)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Todos (Admin, Jefe, Colaborador)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Seguridad/Acceso - aplicación transversal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Lanza y configurar encuesta(duración)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Administrador (Nivel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Negocio - aplicación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Crear y asignar usuarios según jerarquía organizacional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Administrador (Nivel 2), Jefe (Nivel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Mantención - aplicación secundaria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Responder cuestionario de clima laboral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Colaborador (Nivel 4), Jefe (Nivel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Negocio - aplicación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Visualizar dashboard de resultados y comparativas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Administrador (Nivel 2), Jefe (Nivel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Negocio - aplicación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Generar y hacer seguimiento a planes de 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Jefe (Nivel 3), Administrador (Nivel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Negocio - aplicación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Exportar resultados y métricas de la empresa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Administrador (Nivel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Negocio - aplicación secundaria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jc w:val="both"/>
              <w:rPr>
                <w:rFonts w:ascii="Arial" w:cs="Arial" w:eastAsia="Arial" w:hAnsi="Arial"/>
                <w:color w:val="00000a"/>
              </w:rPr>
            </w:pPr>
            <w:r w:rsidDel="00000000" w:rsidR="00000000" w:rsidRPr="00000000">
              <w:rPr>
                <w:rFonts w:ascii="Arial" w:cs="Arial" w:eastAsia="Arial" w:hAnsi="Arial"/>
                <w:b w:val="1"/>
                <w:bCs w:val="1"/>
                <w:color w:val="00000a"/>
                <w:rtl w:val="0"/>
              </w:rPr>
              <w:t xml:space="preserve">CU08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Configurar parámetros y branding de la empresa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Equipo de plataforma, Administrador (Nivel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jc w:val="both"/>
              <w:rPr>
                <w:rFonts w:ascii="Arial" w:cs="Arial" w:eastAsia="Arial" w:hAnsi="Arial"/>
                <w:color w:val="00000a"/>
              </w:rPr>
            </w:pPr>
            <w:r w:rsidDel="00000000" w:rsidR="00000000" w:rsidRPr="00000000">
              <w:rPr>
                <w:rFonts w:ascii="Arial" w:cs="Arial" w:eastAsia="Arial" w:hAnsi="Arial"/>
                <w:color w:val="00000a"/>
                <w:rtl w:val="0"/>
              </w:rPr>
              <w:t xml:space="preserve">Mantención - aplicación secundaria</w:t>
            </w:r>
          </w:p>
        </w:tc>
      </w:tr>
      <w:tr>
        <w:trPr>
          <w:cantSplit w:val="0"/>
          <w:tblHeader w:val="0"/>
        </w:trPr>
        <w:tc>
          <w:tcPr/>
          <w:p w:rsidR="00000000" w:rsidDel="00000000" w:rsidP="00000000" w:rsidRDefault="00000000" w:rsidRPr="00000000" w14:paraId="00000045">
            <w:pPr>
              <w:jc w:val="both"/>
              <w:rPr>
                <w:color w:val="00000a"/>
              </w:rPr>
            </w:pPr>
            <w:r w:rsidDel="00000000" w:rsidR="00000000" w:rsidRPr="00000000">
              <w:rPr>
                <w:rtl w:val="0"/>
              </w:rPr>
            </w:r>
          </w:p>
        </w:tc>
        <w:tc>
          <w:tcPr/>
          <w:p w:rsidR="00000000" w:rsidDel="00000000" w:rsidP="00000000" w:rsidRDefault="00000000" w:rsidRPr="00000000" w14:paraId="00000046">
            <w:pPr>
              <w:jc w:val="both"/>
              <w:rPr>
                <w:color w:val="00000a"/>
              </w:rPr>
            </w:pPr>
            <w:r w:rsidDel="00000000" w:rsidR="00000000" w:rsidRPr="00000000">
              <w:rPr>
                <w:rtl w:val="0"/>
              </w:rPr>
            </w:r>
          </w:p>
        </w:tc>
        <w:tc>
          <w:tcPr/>
          <w:p w:rsidR="00000000" w:rsidDel="00000000" w:rsidP="00000000" w:rsidRDefault="00000000" w:rsidRPr="00000000" w14:paraId="00000047">
            <w:pPr>
              <w:jc w:val="both"/>
              <w:rPr>
                <w:color w:val="00000a"/>
              </w:rPr>
            </w:pPr>
            <w:r w:rsidDel="00000000" w:rsidR="00000000" w:rsidRPr="00000000">
              <w:rPr>
                <w:rtl w:val="0"/>
              </w:rPr>
            </w:r>
          </w:p>
        </w:tc>
        <w:tc>
          <w:tcPr/>
          <w:p w:rsidR="00000000" w:rsidDel="00000000" w:rsidP="00000000" w:rsidRDefault="00000000" w:rsidRPr="00000000" w14:paraId="00000048">
            <w:pPr>
              <w:jc w:val="both"/>
              <w:rPr>
                <w:color w:val="00000a"/>
              </w:rPr>
            </w:pPr>
            <w:r w:rsidDel="00000000" w:rsidR="00000000" w:rsidRPr="00000000">
              <w:rPr>
                <w:rtl w:val="0"/>
              </w:rPr>
            </w:r>
          </w:p>
        </w:tc>
      </w:tr>
      <w:tr>
        <w:trPr>
          <w:cantSplit w:val="0"/>
          <w:tblHeader w:val="0"/>
        </w:trPr>
        <w:tc>
          <w:tcPr/>
          <w:p w:rsidR="00000000" w:rsidDel="00000000" w:rsidP="00000000" w:rsidRDefault="00000000" w:rsidRPr="00000000" w14:paraId="00000049">
            <w:pPr>
              <w:jc w:val="both"/>
              <w:rPr>
                <w:color w:val="00000a"/>
              </w:rPr>
            </w:pPr>
            <w:r w:rsidDel="00000000" w:rsidR="00000000" w:rsidRPr="00000000">
              <w:rPr>
                <w:rtl w:val="0"/>
              </w:rPr>
            </w:r>
          </w:p>
        </w:tc>
        <w:tc>
          <w:tcPr/>
          <w:p w:rsidR="00000000" w:rsidDel="00000000" w:rsidP="00000000" w:rsidRDefault="00000000" w:rsidRPr="00000000" w14:paraId="0000004A">
            <w:pPr>
              <w:jc w:val="both"/>
              <w:rPr>
                <w:color w:val="00000a"/>
              </w:rPr>
            </w:pPr>
            <w:r w:rsidDel="00000000" w:rsidR="00000000" w:rsidRPr="00000000">
              <w:rPr>
                <w:rtl w:val="0"/>
              </w:rPr>
            </w:r>
          </w:p>
        </w:tc>
        <w:tc>
          <w:tcPr/>
          <w:p w:rsidR="00000000" w:rsidDel="00000000" w:rsidP="00000000" w:rsidRDefault="00000000" w:rsidRPr="00000000" w14:paraId="0000004B">
            <w:pPr>
              <w:jc w:val="both"/>
              <w:rPr>
                <w:color w:val="00000a"/>
              </w:rPr>
            </w:pPr>
            <w:r w:rsidDel="00000000" w:rsidR="00000000" w:rsidRPr="00000000">
              <w:rPr>
                <w:rtl w:val="0"/>
              </w:rPr>
            </w:r>
          </w:p>
        </w:tc>
        <w:tc>
          <w:tcPr/>
          <w:p w:rsidR="00000000" w:rsidDel="00000000" w:rsidP="00000000" w:rsidRDefault="00000000" w:rsidRPr="00000000" w14:paraId="0000004C">
            <w:pPr>
              <w:jc w:val="both"/>
              <w:rPr>
                <w:color w:val="00000a"/>
              </w:rPr>
            </w:pPr>
            <w:r w:rsidDel="00000000" w:rsidR="00000000" w:rsidRPr="00000000">
              <w:rPr>
                <w:rtl w:val="0"/>
              </w:rPr>
            </w:r>
          </w:p>
        </w:tc>
      </w:tr>
    </w:tbl>
    <w:p w:rsidR="00000000" w:rsidDel="00000000" w:rsidP="00000000" w:rsidRDefault="00000000" w:rsidRPr="00000000" w14:paraId="0000004D">
      <w:pPr>
        <w:jc w:val="both"/>
        <w:rPr>
          <w:b w:val="1"/>
          <w:bCs w:val="1"/>
          <w:color w:val="00000a"/>
        </w:rPr>
      </w:pPr>
      <w:r w:rsidDel="00000000" w:rsidR="00000000" w:rsidRPr="00000000">
        <w:rPr>
          <w:rtl w:val="0"/>
        </w:rPr>
      </w:r>
    </w:p>
    <w:p w:rsidR="00000000" w:rsidDel="00000000" w:rsidP="00000000" w:rsidRDefault="00000000" w:rsidRPr="00000000" w14:paraId="0000004E">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2"/>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ZLHA1TsnQXpl2e3YBAVyayg0Q==">CgMxLjA4AHIhMXRJYlpMNFBESXBfTFRuX1kwbTRmWVVNWDFrZExBcm5f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2022-03-05T17:39:00Z</dcterms:created>
  <dc:creator>DRGC</dc:creator>
</cp:coreProperties>
</file>