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6E7E" w14:textId="60F399F7" w:rsidR="00D70A78" w:rsidRPr="002249A6" w:rsidRDefault="003C3EE8" w:rsidP="003C3EE8">
      <w:pPr>
        <w:pStyle w:val="NoSpacing"/>
        <w:rPr>
          <w:rFonts w:ascii="Times New Roman" w:hAnsi="Times New Roman" w:cs="Times New Roman"/>
        </w:rPr>
      </w:pPr>
      <w:r w:rsidRPr="002249A6">
        <w:rPr>
          <w:rFonts w:ascii="Times New Roman" w:hAnsi="Times New Roman" w:cs="Times New Roman"/>
        </w:rPr>
        <w:t>Sandra Cambrelen</w:t>
      </w:r>
    </w:p>
    <w:p w14:paraId="2704C355" w14:textId="482CB362" w:rsidR="003C3EE8" w:rsidRPr="002249A6" w:rsidRDefault="003C3EE8" w:rsidP="003C3EE8">
      <w:pPr>
        <w:pStyle w:val="NoSpacing"/>
        <w:rPr>
          <w:rFonts w:ascii="Times New Roman" w:hAnsi="Times New Roman" w:cs="Times New Roman"/>
        </w:rPr>
      </w:pPr>
      <w:r w:rsidRPr="002249A6">
        <w:rPr>
          <w:rFonts w:ascii="Times New Roman" w:hAnsi="Times New Roman" w:cs="Times New Roman"/>
        </w:rPr>
        <w:t>Media 150 Visual Comm. and Interactv Design</w:t>
      </w:r>
    </w:p>
    <w:p w14:paraId="418EDDEA" w14:textId="26C766E3" w:rsidR="003C3EE8" w:rsidRPr="002249A6" w:rsidRDefault="003C3EE8" w:rsidP="003C3EE8">
      <w:pPr>
        <w:pStyle w:val="NoSpacing"/>
        <w:rPr>
          <w:rFonts w:ascii="Times New Roman" w:hAnsi="Times New Roman" w:cs="Times New Roman"/>
        </w:rPr>
      </w:pPr>
      <w:r w:rsidRPr="002249A6">
        <w:rPr>
          <w:rFonts w:ascii="Times New Roman" w:hAnsi="Times New Roman" w:cs="Times New Roman"/>
        </w:rPr>
        <w:t>Prof. Ricardo Miranda and Celeste Newcomb</w:t>
      </w:r>
    </w:p>
    <w:p w14:paraId="3132B20E" w14:textId="316F62FC" w:rsidR="003C3EE8" w:rsidRPr="002249A6" w:rsidRDefault="003C3EE8" w:rsidP="003C3EE8">
      <w:pPr>
        <w:pStyle w:val="NoSpacing"/>
        <w:rPr>
          <w:rFonts w:ascii="Times New Roman" w:hAnsi="Times New Roman" w:cs="Times New Roman"/>
        </w:rPr>
      </w:pPr>
      <w:r w:rsidRPr="002249A6">
        <w:rPr>
          <w:rFonts w:ascii="Times New Roman" w:hAnsi="Times New Roman" w:cs="Times New Roman"/>
        </w:rPr>
        <w:t>12/11/25</w:t>
      </w:r>
    </w:p>
    <w:p w14:paraId="2A66B975" w14:textId="77777777" w:rsidR="003C3EE8" w:rsidRPr="003C3EE8" w:rsidRDefault="003C3EE8">
      <w:pPr>
        <w:rPr>
          <w:rFonts w:ascii="Times New Roman" w:hAnsi="Times New Roman" w:cs="Times New Roman"/>
        </w:rPr>
      </w:pPr>
    </w:p>
    <w:p w14:paraId="1C3FE6EF" w14:textId="199356F1" w:rsidR="003C3EE8" w:rsidRPr="003C3EE8" w:rsidRDefault="003C3EE8" w:rsidP="003C3EE8">
      <w:pPr>
        <w:rPr>
          <w:rFonts w:ascii="Times New Roman" w:hAnsi="Times New Roman" w:cs="Times New Roman"/>
        </w:rPr>
      </w:pPr>
      <w:r w:rsidRPr="003C3EE8">
        <w:rPr>
          <w:rFonts w:ascii="Times New Roman" w:hAnsi="Times New Roman" w:cs="Times New Roman"/>
        </w:rPr>
        <w:tab/>
      </w:r>
      <w:r w:rsidRPr="003C3EE8">
        <w:rPr>
          <w:rFonts w:ascii="Times New Roman" w:hAnsi="Times New Roman" w:cs="Times New Roman"/>
        </w:rPr>
        <w:tab/>
      </w:r>
      <w:r w:rsidRPr="003C3EE8">
        <w:rPr>
          <w:rFonts w:ascii="Times New Roman" w:hAnsi="Times New Roman" w:cs="Times New Roman"/>
        </w:rPr>
        <w:tab/>
        <w:t xml:space="preserve">       “</w:t>
      </w:r>
      <w:r w:rsidRPr="003C3EE8">
        <w:rPr>
          <w:rFonts w:ascii="Times New Roman" w:hAnsi="Times New Roman" w:cs="Times New Roman"/>
        </w:rPr>
        <w:t>The risk of</w:t>
      </w:r>
      <w:r w:rsidRPr="003C3EE8">
        <w:rPr>
          <w:rFonts w:ascii="Times New Roman" w:hAnsi="Times New Roman" w:cs="Times New Roman"/>
        </w:rPr>
        <w:t xml:space="preserve"> </w:t>
      </w:r>
      <w:r w:rsidRPr="003C3EE8">
        <w:rPr>
          <w:rFonts w:ascii="Times New Roman" w:hAnsi="Times New Roman" w:cs="Times New Roman"/>
        </w:rPr>
        <w:t>nuclear conflict</w:t>
      </w:r>
      <w:r w:rsidRPr="003C3EE8">
        <w:rPr>
          <w:rFonts w:ascii="Times New Roman" w:hAnsi="Times New Roman" w:cs="Times New Roman"/>
        </w:rPr>
        <w:t xml:space="preserve"> </w:t>
      </w:r>
      <w:r w:rsidRPr="003C3EE8">
        <w:rPr>
          <w:rFonts w:ascii="Times New Roman" w:hAnsi="Times New Roman" w:cs="Times New Roman"/>
        </w:rPr>
        <w:t>is rising.</w:t>
      </w:r>
      <w:r w:rsidRPr="003C3EE8">
        <w:rPr>
          <w:rFonts w:ascii="Times New Roman" w:hAnsi="Times New Roman" w:cs="Times New Roman"/>
        </w:rPr>
        <w:t>”</w:t>
      </w:r>
    </w:p>
    <w:p w14:paraId="7380A8C6" w14:textId="77777777" w:rsidR="003C3EE8" w:rsidRPr="003C3EE8" w:rsidRDefault="003C3EE8" w:rsidP="003C3EE8">
      <w:pPr>
        <w:rPr>
          <w:rFonts w:ascii="Times New Roman" w:hAnsi="Times New Roman" w:cs="Times New Roman"/>
        </w:rPr>
      </w:pPr>
      <w:r w:rsidRPr="003C3EE8">
        <w:rPr>
          <w:rFonts w:ascii="Times New Roman" w:hAnsi="Times New Roman" w:cs="Times New Roman"/>
        </w:rPr>
        <w:t>The threat of nuclear war has long haunted humanity, but in recent years the danger has grown sharper and more immediate. The collapse of arms‑control agreements, the modernization of nuclear arsenals, and the rise of new geopolitical tensions have created a world where the possibility of nuclear confrontation is no longer a distant memory of the Cold War but a pressing risk. The New York Times article “Nuclear War: The Rising Risk, and How We Stop It” makes clear that the safeguards once relied upon are eroding, and the urgency to act has never been greater.</w:t>
      </w:r>
    </w:p>
    <w:p w14:paraId="29D7AED0" w14:textId="77777777" w:rsidR="003C3EE8" w:rsidRPr="003C3EE8" w:rsidRDefault="003C3EE8" w:rsidP="003C3EE8">
      <w:pPr>
        <w:rPr>
          <w:rFonts w:ascii="Times New Roman" w:hAnsi="Times New Roman" w:cs="Times New Roman"/>
        </w:rPr>
      </w:pPr>
    </w:p>
    <w:p w14:paraId="525A3734" w14:textId="77777777" w:rsidR="003C3EE8" w:rsidRPr="003C3EE8" w:rsidRDefault="003C3EE8" w:rsidP="003C3EE8">
      <w:pPr>
        <w:rPr>
          <w:rFonts w:ascii="Times New Roman" w:hAnsi="Times New Roman" w:cs="Times New Roman"/>
        </w:rPr>
      </w:pPr>
      <w:r w:rsidRPr="003C3EE8">
        <w:rPr>
          <w:rFonts w:ascii="Times New Roman" w:hAnsi="Times New Roman" w:cs="Times New Roman"/>
        </w:rPr>
        <w:t>During the Cold War, the world lived under the shadow of two superpowers locked in a nuclear standoff. While terrifying, that bipolar system had a certain predictability, and treaties such as the Strategic Arms Limitation Talks and the Anti‑Ballistic Missile Treaty provided a framework to reduce risk. Today, however, the nuclear landscape is multipolar. Russia, China, North Korea, and other states possess nuclear weapons, and the possibility of miscalculation or escalation is multiplied. The article emphasizes that deterrence, once thought to be a stabilizing force, is increasingly unreliable in an era of cyberattacks, misinformation, and unpredictable leadership.</w:t>
      </w:r>
    </w:p>
    <w:p w14:paraId="6A04B754" w14:textId="77777777" w:rsidR="003C3EE8" w:rsidRPr="003C3EE8" w:rsidRDefault="003C3EE8" w:rsidP="003C3EE8">
      <w:pPr>
        <w:rPr>
          <w:rFonts w:ascii="Times New Roman" w:hAnsi="Times New Roman" w:cs="Times New Roman"/>
        </w:rPr>
      </w:pPr>
    </w:p>
    <w:p w14:paraId="51FA11DE" w14:textId="77777777" w:rsidR="003C3EE8" w:rsidRPr="003C3EE8" w:rsidRDefault="003C3EE8" w:rsidP="003C3EE8">
      <w:pPr>
        <w:rPr>
          <w:rFonts w:ascii="Times New Roman" w:hAnsi="Times New Roman" w:cs="Times New Roman"/>
        </w:rPr>
      </w:pPr>
      <w:r w:rsidRPr="003C3EE8">
        <w:rPr>
          <w:rFonts w:ascii="Times New Roman" w:hAnsi="Times New Roman" w:cs="Times New Roman"/>
        </w:rPr>
        <w:t>The danger is not abstract. Russia’s war in Ukraine has already raised the specter of nuclear use, with threats and rhetoric that would have been unthinkable a generation ago. China’s rapid expansion of its nuclear arsenal adds another layer of instability, while North Korea continues to test missiles and flaunt its capabilities. Each of these flashpoints carries the risk of spiraling into a conflict where nuclear weapons could be used, intentionally or accidentally. The article warns that the margin for error is shrinking, and the consequences of a mistake would be catastrophic.</w:t>
      </w:r>
    </w:p>
    <w:p w14:paraId="018C5143" w14:textId="77777777" w:rsidR="003C3EE8" w:rsidRPr="003C3EE8" w:rsidRDefault="003C3EE8" w:rsidP="003C3EE8">
      <w:pPr>
        <w:rPr>
          <w:rFonts w:ascii="Times New Roman" w:hAnsi="Times New Roman" w:cs="Times New Roman"/>
        </w:rPr>
      </w:pPr>
    </w:p>
    <w:p w14:paraId="7F16221F" w14:textId="77777777" w:rsidR="003C3EE8" w:rsidRPr="003C3EE8" w:rsidRDefault="003C3EE8" w:rsidP="003C3EE8">
      <w:pPr>
        <w:rPr>
          <w:rFonts w:ascii="Times New Roman" w:hAnsi="Times New Roman" w:cs="Times New Roman"/>
        </w:rPr>
      </w:pPr>
      <w:r w:rsidRPr="003C3EE8">
        <w:rPr>
          <w:rFonts w:ascii="Times New Roman" w:hAnsi="Times New Roman" w:cs="Times New Roman"/>
        </w:rPr>
        <w:t>What makes this moment especially perilous is the weakening of arms‑control regimes. Treaties that once limited stockpiles and provided mechanisms for verification have been abandoned or allowed to lapse. Without these agreements, transparency is lost, and mistrust grows. The article argues that rebuilding these frameworks is essential, not only to reduce arsenals but to restore communication channels that can prevent misunderstandings from escalating into war.</w:t>
      </w:r>
    </w:p>
    <w:p w14:paraId="0F27F49B" w14:textId="77777777" w:rsidR="003C3EE8" w:rsidRPr="003C3EE8" w:rsidRDefault="003C3EE8" w:rsidP="003C3EE8">
      <w:pPr>
        <w:rPr>
          <w:rFonts w:ascii="Times New Roman" w:hAnsi="Times New Roman" w:cs="Times New Roman"/>
        </w:rPr>
      </w:pPr>
    </w:p>
    <w:p w14:paraId="0ADF8832" w14:textId="77777777" w:rsidR="003C3EE8" w:rsidRPr="003C3EE8" w:rsidRDefault="003C3EE8" w:rsidP="003C3EE8">
      <w:pPr>
        <w:rPr>
          <w:rFonts w:ascii="Times New Roman" w:hAnsi="Times New Roman" w:cs="Times New Roman"/>
        </w:rPr>
      </w:pPr>
      <w:r w:rsidRPr="003C3EE8">
        <w:rPr>
          <w:rFonts w:ascii="Times New Roman" w:hAnsi="Times New Roman" w:cs="Times New Roman"/>
        </w:rPr>
        <w:lastRenderedPageBreak/>
        <w:t>Yet the piece is not only a warning; it is also a call to action. It insists that diplomacy must be revived, that nations must recommit to arms control, and that citizens must pressure their governments to prioritize disarmament. The moral argument is as strong as the strategic one: preventing nuclear war is not simply about national security, it is about safeguarding humanity itself. The author reminds us that the devastation of Hiroshima and Nagasaki should never be repeated, and that the responsibility to prevent such horror lies with all of us.</w:t>
      </w:r>
    </w:p>
    <w:p w14:paraId="3C78AE3F" w14:textId="77777777" w:rsidR="003C3EE8" w:rsidRPr="003C3EE8" w:rsidRDefault="003C3EE8" w:rsidP="003C3EE8">
      <w:pPr>
        <w:rPr>
          <w:rFonts w:ascii="Times New Roman" w:hAnsi="Times New Roman" w:cs="Times New Roman"/>
        </w:rPr>
      </w:pPr>
    </w:p>
    <w:p w14:paraId="431B6D43" w14:textId="7CC176AF" w:rsidR="003C3EE8" w:rsidRPr="003C3EE8" w:rsidRDefault="003C3EE8" w:rsidP="003C3EE8">
      <w:pPr>
        <w:rPr>
          <w:rFonts w:ascii="Times New Roman" w:hAnsi="Times New Roman" w:cs="Times New Roman"/>
        </w:rPr>
      </w:pPr>
      <w:r w:rsidRPr="003C3EE8">
        <w:rPr>
          <w:rFonts w:ascii="Times New Roman" w:hAnsi="Times New Roman" w:cs="Times New Roman"/>
        </w:rPr>
        <w:t>In conclusion, the rising risk of nuclear war is a challenge that demands urgent attention. The erosion of deterrence, the proliferation of nuclear states, and the collapse of arms‑control treaties have created a dangerous environment where catastrophe is possible. But the article also makes clear that this future is not inevitable. Through diplomacy, renewed agreements, and public engagement, the world can step back from the brink. The task is daunting, but the stakes could not be higher: the survival of humanity depends on our ability to act before it is too late.</w:t>
      </w:r>
    </w:p>
    <w:sectPr w:rsidR="003C3EE8" w:rsidRPr="003C3EE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AB6D" w14:textId="77777777" w:rsidR="00680C71" w:rsidRDefault="00680C71" w:rsidP="003C3EE8">
      <w:pPr>
        <w:spacing w:after="0" w:line="240" w:lineRule="auto"/>
      </w:pPr>
      <w:r>
        <w:separator/>
      </w:r>
    </w:p>
  </w:endnote>
  <w:endnote w:type="continuationSeparator" w:id="0">
    <w:p w14:paraId="719570EE" w14:textId="77777777" w:rsidR="00680C71" w:rsidRDefault="00680C71" w:rsidP="003C3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F5F7A" w14:textId="77777777" w:rsidR="00680C71" w:rsidRDefault="00680C71" w:rsidP="003C3EE8">
      <w:pPr>
        <w:spacing w:after="0" w:line="240" w:lineRule="auto"/>
      </w:pPr>
      <w:r>
        <w:separator/>
      </w:r>
    </w:p>
  </w:footnote>
  <w:footnote w:type="continuationSeparator" w:id="0">
    <w:p w14:paraId="33405A77" w14:textId="77777777" w:rsidR="00680C71" w:rsidRDefault="00680C71" w:rsidP="003C3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977869"/>
      <w:docPartObj>
        <w:docPartGallery w:val="Page Numbers (Top of Page)"/>
        <w:docPartUnique/>
      </w:docPartObj>
    </w:sdtPr>
    <w:sdtEndPr>
      <w:rPr>
        <w:noProof/>
      </w:rPr>
    </w:sdtEndPr>
    <w:sdtContent>
      <w:p w14:paraId="26DEF3FE" w14:textId="7458D2E1" w:rsidR="003C3EE8" w:rsidRDefault="003C3E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0D9A8B" w14:textId="77777777" w:rsidR="003C3EE8" w:rsidRDefault="003C3E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E8"/>
    <w:rsid w:val="00207D42"/>
    <w:rsid w:val="002249A6"/>
    <w:rsid w:val="002679CC"/>
    <w:rsid w:val="003C3EE8"/>
    <w:rsid w:val="00680C71"/>
    <w:rsid w:val="00C8403D"/>
    <w:rsid w:val="00D70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9B93"/>
  <w15:chartTrackingRefBased/>
  <w15:docId w15:val="{CA26A273-E9DF-4469-83CA-826D3762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E8"/>
    <w:rPr>
      <w:rFonts w:eastAsiaTheme="majorEastAsia" w:cstheme="majorBidi"/>
      <w:color w:val="272727" w:themeColor="text1" w:themeTint="D8"/>
    </w:rPr>
  </w:style>
  <w:style w:type="paragraph" w:styleId="Title">
    <w:name w:val="Title"/>
    <w:basedOn w:val="Normal"/>
    <w:next w:val="Normal"/>
    <w:link w:val="TitleChar"/>
    <w:uiPriority w:val="10"/>
    <w:qFormat/>
    <w:rsid w:val="003C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E8"/>
    <w:pPr>
      <w:spacing w:before="160"/>
      <w:jc w:val="center"/>
    </w:pPr>
    <w:rPr>
      <w:i/>
      <w:iCs/>
      <w:color w:val="404040" w:themeColor="text1" w:themeTint="BF"/>
    </w:rPr>
  </w:style>
  <w:style w:type="character" w:customStyle="1" w:styleId="QuoteChar">
    <w:name w:val="Quote Char"/>
    <w:basedOn w:val="DefaultParagraphFont"/>
    <w:link w:val="Quote"/>
    <w:uiPriority w:val="29"/>
    <w:rsid w:val="003C3EE8"/>
    <w:rPr>
      <w:i/>
      <w:iCs/>
      <w:color w:val="404040" w:themeColor="text1" w:themeTint="BF"/>
    </w:rPr>
  </w:style>
  <w:style w:type="paragraph" w:styleId="ListParagraph">
    <w:name w:val="List Paragraph"/>
    <w:basedOn w:val="Normal"/>
    <w:uiPriority w:val="34"/>
    <w:qFormat/>
    <w:rsid w:val="003C3EE8"/>
    <w:pPr>
      <w:ind w:left="720"/>
      <w:contextualSpacing/>
    </w:pPr>
  </w:style>
  <w:style w:type="character" w:styleId="IntenseEmphasis">
    <w:name w:val="Intense Emphasis"/>
    <w:basedOn w:val="DefaultParagraphFont"/>
    <w:uiPriority w:val="21"/>
    <w:qFormat/>
    <w:rsid w:val="003C3EE8"/>
    <w:rPr>
      <w:i/>
      <w:iCs/>
      <w:color w:val="0F4761" w:themeColor="accent1" w:themeShade="BF"/>
    </w:rPr>
  </w:style>
  <w:style w:type="paragraph" w:styleId="IntenseQuote">
    <w:name w:val="Intense Quote"/>
    <w:basedOn w:val="Normal"/>
    <w:next w:val="Normal"/>
    <w:link w:val="IntenseQuoteChar"/>
    <w:uiPriority w:val="30"/>
    <w:qFormat/>
    <w:rsid w:val="003C3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E8"/>
    <w:rPr>
      <w:i/>
      <w:iCs/>
      <w:color w:val="0F4761" w:themeColor="accent1" w:themeShade="BF"/>
    </w:rPr>
  </w:style>
  <w:style w:type="character" w:styleId="IntenseReference">
    <w:name w:val="Intense Reference"/>
    <w:basedOn w:val="DefaultParagraphFont"/>
    <w:uiPriority w:val="32"/>
    <w:qFormat/>
    <w:rsid w:val="003C3EE8"/>
    <w:rPr>
      <w:b/>
      <w:bCs/>
      <w:smallCaps/>
      <w:color w:val="0F4761" w:themeColor="accent1" w:themeShade="BF"/>
      <w:spacing w:val="5"/>
    </w:rPr>
  </w:style>
  <w:style w:type="paragraph" w:styleId="NoSpacing">
    <w:name w:val="No Spacing"/>
    <w:uiPriority w:val="1"/>
    <w:qFormat/>
    <w:rsid w:val="003C3EE8"/>
    <w:pPr>
      <w:spacing w:after="0" w:line="240" w:lineRule="auto"/>
    </w:pPr>
  </w:style>
  <w:style w:type="paragraph" w:styleId="Header">
    <w:name w:val="header"/>
    <w:basedOn w:val="Normal"/>
    <w:link w:val="HeaderChar"/>
    <w:uiPriority w:val="99"/>
    <w:unhideWhenUsed/>
    <w:rsid w:val="003C3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E8"/>
  </w:style>
  <w:style w:type="paragraph" w:styleId="Footer">
    <w:name w:val="footer"/>
    <w:basedOn w:val="Normal"/>
    <w:link w:val="FooterChar"/>
    <w:uiPriority w:val="99"/>
    <w:unhideWhenUsed/>
    <w:rsid w:val="003C3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4B54A-47F7-46CC-94DB-03843E568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Cambrelen</dc:creator>
  <cp:keywords/>
  <dc:description/>
  <cp:lastModifiedBy>Sandra Cambrelen</cp:lastModifiedBy>
  <cp:revision>1</cp:revision>
  <dcterms:created xsi:type="dcterms:W3CDTF">2025-12-11T05:36:00Z</dcterms:created>
  <dcterms:modified xsi:type="dcterms:W3CDTF">2025-12-11T05:55:00Z</dcterms:modified>
</cp:coreProperties>
</file>