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CAEA8" w14:textId="1E51DF1E" w:rsidR="00A00E1C" w:rsidRPr="00427181" w:rsidRDefault="00A00E1C" w:rsidP="00A00E1C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Act as an experienced R programmer, data scientist and biostatistician specialized in food composition databases, nutritional epidemiology and reproducible research workflows. I have already calculated a standardized nutritional scoring system for cow milk, soy drinks, almond drinks and oat drinks. I need a reproducible workflow to statistically compare the nutritional scoring values among beverage categories and assess whether significant differences exist between groups.</w:t>
      </w:r>
    </w:p>
    <w:p w14:paraId="365541D1" w14:textId="77777777" w:rsidR="00A00E1C" w:rsidRPr="00427181" w:rsidRDefault="00A00E1C" w:rsidP="00A00E1C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Generate a non-generic R solution that:</w:t>
      </w:r>
    </w:p>
    <w:p w14:paraId="7FCAC025" w14:textId="77777777" w:rsidR="00A00E1C" w:rsidRPr="00427181" w:rsidRDefault="00A00E1C" w:rsidP="00A00E1C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Uses a previously generated dataset containing the nutritional scoring values for all beverage categories.</w:t>
      </w:r>
    </w:p>
    <w:p w14:paraId="203A47C0" w14:textId="77777777" w:rsidR="00A00E1C" w:rsidRPr="00427181" w:rsidRDefault="00A00E1C" w:rsidP="00A00E1C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Ensures that the nutritional scoring variable is stored as a numeric variable suitable for statistical analysis.</w:t>
      </w:r>
    </w:p>
    <w:p w14:paraId="76DF5169" w14:textId="77777777" w:rsidR="00A00E1C" w:rsidRPr="00427181" w:rsidRDefault="00A00E1C" w:rsidP="00A00E1C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Ensures that the beverage category variable is stored as a factor suitable for group comparisons.</w:t>
      </w:r>
    </w:p>
    <w:p w14:paraId="70431FFA" w14:textId="77777777" w:rsidR="00A00E1C" w:rsidRPr="00427181" w:rsidRDefault="00A00E1C" w:rsidP="00A00E1C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Evaluates the normality assumption of the nutritional scoring distribution within each beverage category using the Shapiro–Wilk test.</w:t>
      </w:r>
    </w:p>
    <w:p w14:paraId="5A2EBD2B" w14:textId="77777777" w:rsidR="00A00E1C" w:rsidRPr="00427181" w:rsidRDefault="00A00E1C" w:rsidP="00A00E1C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Evaluates homogeneity of variances across beverage categories using Levene’s test.</w:t>
      </w:r>
    </w:p>
    <w:p w14:paraId="4E1C047F" w14:textId="77777777" w:rsidR="00A00E1C" w:rsidRPr="00427181" w:rsidRDefault="00A00E1C" w:rsidP="00A00E1C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Performs one-way analysis of variance (ANOVA) to assess differences in nutritional scoring among beverage categories.</w:t>
      </w:r>
    </w:p>
    <w:p w14:paraId="23E548DE" w14:textId="77777777" w:rsidR="00A00E1C" w:rsidRPr="00427181" w:rsidRDefault="00A00E1C" w:rsidP="00A00E1C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Performs the Kruskal–</w:t>
      </w:r>
      <w:proofErr w:type="gramStart"/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Wallis</w:t>
      </w:r>
      <w:proofErr w:type="gramEnd"/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test as a non-parametric comparison of nutritional scoring across beverage categories.</w:t>
      </w:r>
    </w:p>
    <w:p w14:paraId="2E292020" w14:textId="77777777" w:rsidR="00A00E1C" w:rsidRPr="00427181" w:rsidRDefault="00A00E1C" w:rsidP="00A00E1C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Calculates effect size measures associated with the Kruskal–</w:t>
      </w:r>
      <w:proofErr w:type="gramStart"/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Wallis</w:t>
      </w:r>
      <w:proofErr w:type="gramEnd"/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 xml:space="preserve"> analysis.</w:t>
      </w:r>
    </w:p>
    <w:p w14:paraId="7AC23D4B" w14:textId="77777777" w:rsidR="00A00E1C" w:rsidRPr="00427181" w:rsidRDefault="00A00E1C" w:rsidP="00A00E1C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Performs post-hoc pairwise comparisons using Dunn’s test with Benjamini–Hochberg (BH) p-value adjustment.</w:t>
      </w:r>
    </w:p>
    <w:p w14:paraId="6ACFA558" w14:textId="69AB33D7" w:rsidR="00A00E1C" w:rsidRPr="00427181" w:rsidRDefault="00A00E1C" w:rsidP="00A00E1C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 xml:space="preserve">Generates separate result tables for: normality </w:t>
      </w:r>
      <w:proofErr w:type="gramStart"/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assessment ;</w:t>
      </w:r>
      <w:proofErr w:type="gramEnd"/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 xml:space="preserve"> homogeneity of variance </w:t>
      </w:r>
      <w:proofErr w:type="gramStart"/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assessment ;</w:t>
      </w:r>
      <w:proofErr w:type="gramEnd"/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 xml:space="preserve"> ANOVA </w:t>
      </w:r>
      <w:proofErr w:type="gramStart"/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results ;</w:t>
      </w:r>
      <w:proofErr w:type="gramEnd"/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 xml:space="preserve"> Kruskal–Wallis </w:t>
      </w:r>
      <w:proofErr w:type="gramStart"/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results ;</w:t>
      </w:r>
      <w:proofErr w:type="gramEnd"/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 xml:space="preserve"> effect size </w:t>
      </w:r>
      <w:proofErr w:type="gramStart"/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estimates ;</w:t>
      </w:r>
      <w:proofErr w:type="gramEnd"/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 xml:space="preserve"> Dunn post-hoc comparisons</w:t>
      </w:r>
    </w:p>
    <w:p w14:paraId="3B0714A9" w14:textId="77777777" w:rsidR="00A00E1C" w:rsidRPr="00427181" w:rsidRDefault="00A00E1C" w:rsidP="00A00E1C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Organizes all statistical outputs into a structured format suitable for reporting.</w:t>
      </w:r>
    </w:p>
    <w:p w14:paraId="19B05C42" w14:textId="77777777" w:rsidR="00A00E1C" w:rsidRPr="00427181" w:rsidRDefault="00A00E1C" w:rsidP="00A00E1C">
      <w:pPr>
        <w:pStyle w:val="NormalWeb"/>
        <w:numPr>
          <w:ilvl w:val="0"/>
          <w:numId w:val="1"/>
        </w:numPr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Exports all statistical results into a single Excel workbook using separate worksheets for each analysis.</w:t>
      </w:r>
    </w:p>
    <w:p w14:paraId="1DD000AF" w14:textId="7AB0603E" w:rsidR="00A00E1C" w:rsidRPr="00427181" w:rsidRDefault="00427181" w:rsidP="00A00E1C">
      <w:pPr>
        <w:pStyle w:val="NormalWeb"/>
        <w:jc w:val="both"/>
        <w:rPr>
          <w:rFonts w:ascii="Palatino Linotype" w:hAnsi="Palatino Linotype"/>
          <w:color w:val="000000"/>
          <w:sz w:val="20"/>
          <w:szCs w:val="20"/>
          <w:lang w:val="en-GB"/>
        </w:rPr>
      </w:pPr>
      <w:r w:rsidRPr="00427181">
        <w:rPr>
          <w:rFonts w:ascii="Palatino Linotype" w:hAnsi="Palatino Linotype"/>
          <w:color w:val="000000"/>
          <w:sz w:val="20"/>
          <w:szCs w:val="20"/>
          <w:lang w:val="en-GB"/>
        </w:rPr>
        <w:t>Analyse</w:t>
      </w:r>
      <w:r w:rsidR="00A00E1C" w:rsidRPr="00427181">
        <w:rPr>
          <w:rFonts w:ascii="Palatino Linotype" w:hAnsi="Palatino Linotype"/>
          <w:color w:val="000000"/>
          <w:sz w:val="20"/>
          <w:szCs w:val="20"/>
          <w:lang w:val="en-GB"/>
        </w:rPr>
        <w:t xml:space="preserve"> the workflow from the perspective of reproducibility, transparency and appropriateness for comparing nutritional scoring values across beverage categories. Generate clean, readable and publication-ready code following </w:t>
      </w:r>
      <w:proofErr w:type="spellStart"/>
      <w:r w:rsidR="00A00E1C" w:rsidRPr="00427181">
        <w:rPr>
          <w:rFonts w:ascii="Palatino Linotype" w:hAnsi="Palatino Linotype"/>
          <w:color w:val="000000"/>
          <w:sz w:val="20"/>
          <w:szCs w:val="20"/>
          <w:lang w:val="en-GB"/>
        </w:rPr>
        <w:t>tidyverse</w:t>
      </w:r>
      <w:proofErr w:type="spellEnd"/>
      <w:r w:rsidR="00A00E1C" w:rsidRPr="00427181">
        <w:rPr>
          <w:rFonts w:ascii="Palatino Linotype" w:hAnsi="Palatino Linotype"/>
          <w:color w:val="000000"/>
          <w:sz w:val="20"/>
          <w:szCs w:val="20"/>
          <w:lang w:val="en-GB"/>
        </w:rPr>
        <w:t xml:space="preserve"> conventions and statistical best practices.</w:t>
      </w:r>
    </w:p>
    <w:p w14:paraId="47AA74CD" w14:textId="77777777" w:rsidR="00076087" w:rsidRDefault="00076087"/>
    <w:sectPr w:rsidR="000760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21B8D"/>
    <w:multiLevelType w:val="multilevel"/>
    <w:tmpl w:val="615A0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0667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E1C"/>
    <w:rsid w:val="00011D91"/>
    <w:rsid w:val="00076087"/>
    <w:rsid w:val="00147AF7"/>
    <w:rsid w:val="00427181"/>
    <w:rsid w:val="005B2967"/>
    <w:rsid w:val="00A00E1C"/>
    <w:rsid w:val="00B87F14"/>
    <w:rsid w:val="00D3321E"/>
    <w:rsid w:val="00DF03A7"/>
    <w:rsid w:val="00E959D0"/>
    <w:rsid w:val="00EF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3B04E0"/>
  <w15:chartTrackingRefBased/>
  <w15:docId w15:val="{A6C5C4DA-8CAE-F94C-A7DF-F709B1F7F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A00E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327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2</cp:revision>
  <dcterms:created xsi:type="dcterms:W3CDTF">2026-06-14T13:34:00Z</dcterms:created>
  <dcterms:modified xsi:type="dcterms:W3CDTF">2026-06-14T13:43:00Z</dcterms:modified>
</cp:coreProperties>
</file>