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8FE3F" w14:textId="443FB95C" w:rsidR="00076087" w:rsidRPr="00D15922" w:rsidRDefault="00BB300D">
      <w:pPr>
        <w:rPr>
          <w:rFonts w:ascii="Palatino Linotype" w:hAnsi="Palatino Linotype"/>
        </w:rPr>
      </w:pPr>
      <w:r w:rsidRPr="00D15922">
        <w:rPr>
          <w:rFonts w:ascii="Palatino Linotype" w:hAnsi="Palatino Linotype"/>
        </w:rPr>
        <w:t>3. RESULTADOS</w:t>
      </w:r>
    </w:p>
    <w:p w14:paraId="251524DB" w14:textId="2113B47A" w:rsidR="00D15922" w:rsidRPr="00D15922" w:rsidRDefault="00BB300D">
      <w:pPr>
        <w:rPr>
          <w:rFonts w:ascii="Palatino Linotype" w:hAnsi="Palatino Linotype"/>
        </w:rPr>
      </w:pPr>
      <w:r w:rsidRPr="00D15922">
        <w:rPr>
          <w:rFonts w:ascii="Palatino Linotype" w:hAnsi="Palatino Linotype"/>
        </w:rPr>
        <w:t xml:space="preserve">3.1.  </w:t>
      </w:r>
      <w:r w:rsidR="00B63F95" w:rsidRPr="00D15922">
        <w:rPr>
          <w:rFonts w:ascii="Palatino Linotype" w:hAnsi="Palatino Linotype"/>
        </w:rPr>
        <w:t>ANÁLISIS DE ESTADÍSTICOS DESCRIPTIVOS</w:t>
      </w:r>
    </w:p>
    <w:p w14:paraId="3BB8E3C2" w14:textId="65D893B3" w:rsidR="00FE6E6E" w:rsidRPr="00FE6E6E" w:rsidRDefault="00FE6E6E" w:rsidP="00FE6E6E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 w:rsidRPr="00FE6E6E">
        <w:rPr>
          <w:rFonts w:ascii="Palatino Linotype" w:hAnsi="Palatino Linotype"/>
          <w:color w:val="000000" w:themeColor="text1"/>
        </w:rPr>
        <w:t xml:space="preserve">Tabla </w:t>
      </w:r>
      <w:r w:rsidRPr="00FE6E6E">
        <w:rPr>
          <w:rFonts w:ascii="Palatino Linotype" w:hAnsi="Palatino Linotype"/>
          <w:color w:val="000000" w:themeColor="text1"/>
        </w:rPr>
        <w:fldChar w:fldCharType="begin"/>
      </w:r>
      <w:r w:rsidRPr="00FE6E6E">
        <w:rPr>
          <w:rFonts w:ascii="Palatino Linotype" w:hAnsi="Palatino Linotype"/>
          <w:color w:val="000000" w:themeColor="text1"/>
        </w:rPr>
        <w:instrText xml:space="preserve"> SEQ Tabla \* ARABIC </w:instrText>
      </w:r>
      <w:r w:rsidRPr="00FE6E6E">
        <w:rPr>
          <w:rFonts w:ascii="Palatino Linotype" w:hAnsi="Palatino Linotype"/>
          <w:color w:val="000000" w:themeColor="text1"/>
        </w:rPr>
        <w:fldChar w:fldCharType="separate"/>
      </w:r>
      <w:r w:rsidR="00955796">
        <w:rPr>
          <w:rFonts w:ascii="Palatino Linotype" w:hAnsi="Palatino Linotype"/>
          <w:noProof/>
          <w:color w:val="000000" w:themeColor="text1"/>
        </w:rPr>
        <w:t>1</w:t>
      </w:r>
      <w:r w:rsidRPr="00FE6E6E">
        <w:rPr>
          <w:rFonts w:ascii="Palatino Linotype" w:hAnsi="Palatino Linotype"/>
          <w:color w:val="000000" w:themeColor="text1"/>
        </w:rPr>
        <w:fldChar w:fldCharType="end"/>
      </w:r>
      <w:r w:rsidRPr="00FE6E6E">
        <w:rPr>
          <w:rFonts w:ascii="Palatino Linotype" w:hAnsi="Palatino Linotype"/>
          <w:color w:val="000000" w:themeColor="text1"/>
        </w:rPr>
        <w:t xml:space="preserve">. Valores </w:t>
      </w:r>
      <w:proofErr w:type="spellStart"/>
      <w:r w:rsidRPr="00FE6E6E">
        <w:rPr>
          <w:rFonts w:ascii="Palatino Linotype" w:hAnsi="Palatino Linotype"/>
          <w:color w:val="000000" w:themeColor="text1"/>
        </w:rPr>
        <w:t>expresados</w:t>
      </w:r>
      <w:proofErr w:type="spellEnd"/>
      <w:r w:rsidRPr="00FE6E6E">
        <w:rPr>
          <w:rFonts w:ascii="Palatino Linotype" w:hAnsi="Palatino Linotype"/>
          <w:color w:val="000000" w:themeColor="text1"/>
        </w:rPr>
        <w:t xml:space="preserve"> como </w:t>
      </w:r>
      <w:proofErr w:type="spellStart"/>
      <w:r w:rsidRPr="00FE6E6E">
        <w:rPr>
          <w:rFonts w:ascii="Palatino Linotype" w:hAnsi="Palatino Linotype"/>
          <w:color w:val="000000" w:themeColor="text1"/>
        </w:rPr>
        <w:t>media</w:t>
      </w:r>
      <w:proofErr w:type="spellEnd"/>
      <w:r w:rsidRPr="00FE6E6E">
        <w:rPr>
          <w:rFonts w:ascii="Palatino Linotype" w:hAnsi="Palatino Linotype"/>
          <w:color w:val="000000" w:themeColor="text1"/>
        </w:rPr>
        <w:t xml:space="preserve"> ± </w:t>
      </w:r>
      <w:proofErr w:type="spellStart"/>
      <w:r w:rsidRPr="00FE6E6E">
        <w:rPr>
          <w:rFonts w:ascii="Palatino Linotype" w:hAnsi="Palatino Linotype"/>
          <w:color w:val="000000" w:themeColor="text1"/>
        </w:rPr>
        <w:t>desviación</w:t>
      </w:r>
      <w:proofErr w:type="spellEnd"/>
      <w:r w:rsidRPr="00FE6E6E">
        <w:rPr>
          <w:rFonts w:ascii="Palatino Linotype" w:hAnsi="Palatino Linotype"/>
          <w:color w:val="000000" w:themeColor="text1"/>
        </w:rPr>
        <w:t xml:space="preserve"> </w:t>
      </w:r>
      <w:proofErr w:type="spellStart"/>
      <w:r w:rsidRPr="00FE6E6E">
        <w:rPr>
          <w:rFonts w:ascii="Palatino Linotype" w:hAnsi="Palatino Linotype"/>
          <w:color w:val="000000" w:themeColor="text1"/>
        </w:rPr>
        <w:t>estándar</w:t>
      </w:r>
      <w:proofErr w:type="spellEnd"/>
      <w:r w:rsidRPr="00FE6E6E">
        <w:rPr>
          <w:rFonts w:ascii="Palatino Linotype" w:hAnsi="Palatino Linotype"/>
          <w:color w:val="000000" w:themeColor="text1"/>
        </w:rPr>
        <w:t xml:space="preserve"> por cada 100 </w:t>
      </w:r>
      <w:proofErr w:type="spellStart"/>
      <w:r w:rsidRPr="00FE6E6E">
        <w:rPr>
          <w:rFonts w:ascii="Palatino Linotype" w:hAnsi="Palatino Linotype"/>
          <w:color w:val="000000" w:themeColor="text1"/>
        </w:rPr>
        <w:t>mL</w:t>
      </w:r>
      <w:proofErr w:type="spellEnd"/>
      <w:r w:rsidRPr="00FE6E6E">
        <w:rPr>
          <w:rFonts w:ascii="Palatino Linotype" w:hAnsi="Palatino Linotype"/>
          <w:color w:val="000000" w:themeColor="text1"/>
        </w:rPr>
        <w:t xml:space="preserve"> de </w:t>
      </w:r>
      <w:proofErr w:type="spellStart"/>
      <w:r w:rsidRPr="00FE6E6E">
        <w:rPr>
          <w:rFonts w:ascii="Palatino Linotype" w:hAnsi="Palatino Linotype"/>
          <w:color w:val="000000" w:themeColor="text1"/>
        </w:rPr>
        <w:t>producto</w:t>
      </w:r>
      <w:proofErr w:type="spellEnd"/>
    </w:p>
    <w:tbl>
      <w:tblPr>
        <w:tblStyle w:val="Tablaconcuadrculaclara"/>
        <w:tblW w:w="9640" w:type="dxa"/>
        <w:tblInd w:w="-552" w:type="dxa"/>
        <w:tblBorders>
          <w:top w:val="single" w:sz="2" w:space="0" w:color="auto"/>
          <w:left w:val="none" w:sz="0" w:space="0" w:color="auto"/>
          <w:bottom w:val="single" w:sz="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7"/>
        <w:gridCol w:w="1417"/>
        <w:gridCol w:w="1418"/>
        <w:gridCol w:w="1417"/>
        <w:gridCol w:w="1478"/>
        <w:gridCol w:w="1216"/>
        <w:gridCol w:w="1417"/>
      </w:tblGrid>
      <w:tr w:rsidR="00D15922" w:rsidRPr="00D15922" w14:paraId="7A7E7BF2" w14:textId="77777777" w:rsidTr="00D15922">
        <w:trPr>
          <w:trHeight w:val="300"/>
        </w:trPr>
        <w:tc>
          <w:tcPr>
            <w:tcW w:w="1277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1A28371E" w14:textId="77777777" w:rsidR="00D15922" w:rsidRPr="000C0004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Tipo de </w:t>
            </w:r>
          </w:p>
          <w:p w14:paraId="0ADEF33E" w14:textId="6FC95754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bebida</w:t>
            </w:r>
          </w:p>
        </w:tc>
        <w:tc>
          <w:tcPr>
            <w:tcW w:w="1417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2626502A" w14:textId="77777777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 (productos)</w:t>
            </w:r>
          </w:p>
        </w:tc>
        <w:tc>
          <w:tcPr>
            <w:tcW w:w="1418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26DE2F67" w14:textId="77777777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Energía (kcal/100 mL)</w:t>
            </w:r>
          </w:p>
        </w:tc>
        <w:tc>
          <w:tcPr>
            <w:tcW w:w="1417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34CD5B95" w14:textId="77777777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Grasa total (g/100 mL)</w:t>
            </w:r>
          </w:p>
        </w:tc>
        <w:tc>
          <w:tcPr>
            <w:tcW w:w="1478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453F42D0" w14:textId="77777777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Grasa saturada (g/100 mL)</w:t>
            </w:r>
          </w:p>
        </w:tc>
        <w:tc>
          <w:tcPr>
            <w:tcW w:w="121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26F2FDAE" w14:textId="77777777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Azúcares (g/100 mL)</w:t>
            </w:r>
          </w:p>
        </w:tc>
        <w:tc>
          <w:tcPr>
            <w:tcW w:w="1417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noWrap/>
            <w:hideMark/>
          </w:tcPr>
          <w:p w14:paraId="52FAC710" w14:textId="77777777" w:rsidR="00F63F39" w:rsidRPr="00F63F39" w:rsidRDefault="00F63F39" w:rsidP="00F63F39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Proteínas (g/100 mL)</w:t>
            </w:r>
          </w:p>
        </w:tc>
      </w:tr>
      <w:tr w:rsidR="000C0004" w:rsidRPr="00D15922" w14:paraId="07725106" w14:textId="77777777" w:rsidTr="000C0004">
        <w:trPr>
          <w:trHeight w:val="300"/>
        </w:trPr>
        <w:tc>
          <w:tcPr>
            <w:tcW w:w="1277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6165E960" w14:textId="77777777" w:rsidR="000C0004" w:rsidRPr="00F63F39" w:rsidRDefault="000C0004" w:rsidP="000C0004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</w:t>
            </w:r>
          </w:p>
        </w:tc>
        <w:tc>
          <w:tcPr>
            <w:tcW w:w="1417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1DB6E876" w14:textId="13141119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418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0D00AF84" w14:textId="59B0E591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42.3 ± 24.6</w:t>
            </w:r>
          </w:p>
        </w:tc>
        <w:tc>
          <w:tcPr>
            <w:tcW w:w="1417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6E5A1AB7" w14:textId="79E92BB9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2.06 ± 1.33</w:t>
            </w:r>
          </w:p>
        </w:tc>
        <w:tc>
          <w:tcPr>
            <w:tcW w:w="1478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11BFCE6D" w14:textId="744C9B9D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0.21 ± 0.14</w:t>
            </w:r>
          </w:p>
        </w:tc>
        <w:tc>
          <w:tcPr>
            <w:tcW w:w="1216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065EED50" w14:textId="6838D103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3.21 ± 3.23</w:t>
            </w:r>
          </w:p>
        </w:tc>
        <w:tc>
          <w:tcPr>
            <w:tcW w:w="1417" w:type="dxa"/>
            <w:tcBorders>
              <w:top w:val="single" w:sz="2" w:space="0" w:color="BFBFBF" w:themeColor="background1" w:themeShade="BF"/>
            </w:tcBorders>
            <w:noWrap/>
            <w:vAlign w:val="center"/>
            <w:hideMark/>
          </w:tcPr>
          <w:p w14:paraId="02C2D502" w14:textId="242C8C76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1.40 ± 2.38</w:t>
            </w:r>
          </w:p>
        </w:tc>
      </w:tr>
      <w:tr w:rsidR="000C0004" w:rsidRPr="00D15922" w14:paraId="6552A9DD" w14:textId="77777777" w:rsidTr="000C0004">
        <w:trPr>
          <w:trHeight w:val="300"/>
        </w:trPr>
        <w:tc>
          <w:tcPr>
            <w:tcW w:w="1277" w:type="dxa"/>
            <w:noWrap/>
            <w:vAlign w:val="center"/>
            <w:hideMark/>
          </w:tcPr>
          <w:p w14:paraId="479AF580" w14:textId="77777777" w:rsidR="000C0004" w:rsidRPr="00F63F39" w:rsidRDefault="000C0004" w:rsidP="000C0004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</w:t>
            </w:r>
          </w:p>
        </w:tc>
        <w:tc>
          <w:tcPr>
            <w:tcW w:w="1417" w:type="dxa"/>
            <w:noWrap/>
            <w:vAlign w:val="center"/>
            <w:hideMark/>
          </w:tcPr>
          <w:p w14:paraId="1EC90151" w14:textId="3B77A8EB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418" w:type="dxa"/>
            <w:noWrap/>
            <w:vAlign w:val="center"/>
            <w:hideMark/>
          </w:tcPr>
          <w:p w14:paraId="2044321B" w14:textId="7D6825A8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51.8 ± 9.6</w:t>
            </w:r>
          </w:p>
        </w:tc>
        <w:tc>
          <w:tcPr>
            <w:tcW w:w="1417" w:type="dxa"/>
            <w:noWrap/>
            <w:vAlign w:val="center"/>
            <w:hideMark/>
          </w:tcPr>
          <w:p w14:paraId="7342F9B1" w14:textId="185EEE0C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1.92 ± 1.06</w:t>
            </w:r>
          </w:p>
        </w:tc>
        <w:tc>
          <w:tcPr>
            <w:tcW w:w="1478" w:type="dxa"/>
            <w:noWrap/>
            <w:vAlign w:val="center"/>
            <w:hideMark/>
          </w:tcPr>
          <w:p w14:paraId="6B71EADE" w14:textId="6030C86C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0.20 ± 0.09</w:t>
            </w:r>
          </w:p>
        </w:tc>
        <w:tc>
          <w:tcPr>
            <w:tcW w:w="1216" w:type="dxa"/>
            <w:noWrap/>
            <w:vAlign w:val="center"/>
            <w:hideMark/>
          </w:tcPr>
          <w:p w14:paraId="0C4C3253" w14:textId="07BB827F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4.18 ± 1.45</w:t>
            </w:r>
          </w:p>
        </w:tc>
        <w:tc>
          <w:tcPr>
            <w:tcW w:w="1417" w:type="dxa"/>
            <w:noWrap/>
            <w:vAlign w:val="center"/>
            <w:hideMark/>
          </w:tcPr>
          <w:p w14:paraId="62334E60" w14:textId="2D609A06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1.03 ± 0.31</w:t>
            </w:r>
          </w:p>
        </w:tc>
      </w:tr>
      <w:tr w:rsidR="000C0004" w:rsidRPr="00D15922" w14:paraId="6C24A869" w14:textId="77777777" w:rsidTr="000C0004">
        <w:trPr>
          <w:trHeight w:val="300"/>
        </w:trPr>
        <w:tc>
          <w:tcPr>
            <w:tcW w:w="1277" w:type="dxa"/>
            <w:noWrap/>
            <w:vAlign w:val="center"/>
            <w:hideMark/>
          </w:tcPr>
          <w:p w14:paraId="2F4B8031" w14:textId="77777777" w:rsidR="000C0004" w:rsidRPr="00F63F39" w:rsidRDefault="000C0004" w:rsidP="000C0004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soja</w:t>
            </w:r>
          </w:p>
        </w:tc>
        <w:tc>
          <w:tcPr>
            <w:tcW w:w="1417" w:type="dxa"/>
            <w:noWrap/>
            <w:vAlign w:val="center"/>
            <w:hideMark/>
          </w:tcPr>
          <w:p w14:paraId="7E81A9C5" w14:textId="50317158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418" w:type="dxa"/>
            <w:noWrap/>
            <w:vAlign w:val="center"/>
            <w:hideMark/>
          </w:tcPr>
          <w:p w14:paraId="4F5ADFD4" w14:textId="180A8B4E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50.2 ± 16.0</w:t>
            </w:r>
          </w:p>
        </w:tc>
        <w:tc>
          <w:tcPr>
            <w:tcW w:w="1417" w:type="dxa"/>
            <w:noWrap/>
            <w:vAlign w:val="center"/>
            <w:hideMark/>
          </w:tcPr>
          <w:p w14:paraId="6C49AC31" w14:textId="6FD994A5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1.81 ± 0.85</w:t>
            </w:r>
          </w:p>
        </w:tc>
        <w:tc>
          <w:tcPr>
            <w:tcW w:w="1478" w:type="dxa"/>
            <w:noWrap/>
            <w:vAlign w:val="center"/>
            <w:hideMark/>
          </w:tcPr>
          <w:p w14:paraId="615FCE62" w14:textId="70906DCA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0.38 ± 0.41</w:t>
            </w:r>
          </w:p>
        </w:tc>
        <w:tc>
          <w:tcPr>
            <w:tcW w:w="1216" w:type="dxa"/>
            <w:noWrap/>
            <w:vAlign w:val="center"/>
            <w:hideMark/>
          </w:tcPr>
          <w:p w14:paraId="337D65BC" w14:textId="3AD85396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4.34 ± 2.84</w:t>
            </w:r>
          </w:p>
        </w:tc>
        <w:tc>
          <w:tcPr>
            <w:tcW w:w="1417" w:type="dxa"/>
            <w:noWrap/>
            <w:vAlign w:val="center"/>
            <w:hideMark/>
          </w:tcPr>
          <w:p w14:paraId="6CB4B8DB" w14:textId="0C84322C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2.36 ± 1.64</w:t>
            </w:r>
          </w:p>
        </w:tc>
      </w:tr>
      <w:tr w:rsidR="000C0004" w:rsidRPr="00D15922" w14:paraId="11BD54C8" w14:textId="77777777" w:rsidTr="000C0004">
        <w:trPr>
          <w:trHeight w:val="416"/>
        </w:trPr>
        <w:tc>
          <w:tcPr>
            <w:tcW w:w="1277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555DB1EA" w14:textId="77777777" w:rsidR="000C0004" w:rsidRPr="00F63F39" w:rsidRDefault="000C0004" w:rsidP="000C0004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F63F3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Leche de vaca</w:t>
            </w:r>
          </w:p>
        </w:tc>
        <w:tc>
          <w:tcPr>
            <w:tcW w:w="1417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067F3BE6" w14:textId="0C0B9E1B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418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5A298A85" w14:textId="5A7C8E76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52.3 ± 9.8</w:t>
            </w:r>
          </w:p>
        </w:tc>
        <w:tc>
          <w:tcPr>
            <w:tcW w:w="1417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06B3F15A" w14:textId="72D3F79C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2.45 ± 1.13</w:t>
            </w:r>
          </w:p>
        </w:tc>
        <w:tc>
          <w:tcPr>
            <w:tcW w:w="1478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403EC5CA" w14:textId="49E94F17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1.32 ± 0.71</w:t>
            </w:r>
          </w:p>
        </w:tc>
        <w:tc>
          <w:tcPr>
            <w:tcW w:w="1216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4336A3C9" w14:textId="15200373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4.64 ± 0.17</w:t>
            </w:r>
          </w:p>
        </w:tc>
        <w:tc>
          <w:tcPr>
            <w:tcW w:w="1417" w:type="dxa"/>
            <w:tcBorders>
              <w:bottom w:val="single" w:sz="2" w:space="0" w:color="BFBFBF" w:themeColor="background1" w:themeShade="BF"/>
            </w:tcBorders>
            <w:noWrap/>
            <w:vAlign w:val="center"/>
            <w:hideMark/>
          </w:tcPr>
          <w:p w14:paraId="223621D9" w14:textId="5CF78FB4" w:rsidR="000C0004" w:rsidRPr="00F63F39" w:rsidRDefault="000C0004" w:rsidP="000C000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0C000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3.24 ± 0.20</w:t>
            </w:r>
          </w:p>
        </w:tc>
      </w:tr>
    </w:tbl>
    <w:p w14:paraId="62C53BD8" w14:textId="48447E3B" w:rsidR="00FE6E6E" w:rsidRPr="00961DA5" w:rsidRDefault="00FE6E6E" w:rsidP="00961DA5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961DA5">
        <w:rPr>
          <w:rFonts w:ascii="Palatino Linotype" w:hAnsi="Palatino Linotype"/>
          <w:color w:val="000000"/>
          <w:sz w:val="20"/>
          <w:szCs w:val="20"/>
        </w:rPr>
        <w:t>En la Tabla 1, se observan los estadísticos descriptivos obtenidos de energía, grasa total, grasas saturadas, azúcares y proteínas para las cuatro categorías de bebidas analizadas.</w:t>
      </w:r>
    </w:p>
    <w:p w14:paraId="7D2511EA" w14:textId="315A1090" w:rsidR="00FE6E6E" w:rsidRDefault="00FE6E6E" w:rsidP="00961DA5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961DA5">
        <w:rPr>
          <w:rFonts w:ascii="Palatino Linotype" w:hAnsi="Palatino Linotype"/>
          <w:color w:val="000000"/>
          <w:sz w:val="20"/>
          <w:szCs w:val="20"/>
        </w:rPr>
        <w:t xml:space="preserve">Las bebidas de almendra presentaron la mayor variabilidad en azúcares y </w:t>
      </w:r>
      <w:r w:rsidR="004001A3" w:rsidRPr="00961DA5">
        <w:rPr>
          <w:rFonts w:ascii="Palatino Linotype" w:hAnsi="Palatino Linotype"/>
          <w:color w:val="000000"/>
          <w:sz w:val="20"/>
          <w:szCs w:val="20"/>
        </w:rPr>
        <w:t>proteínas,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así como el menor contenido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 medio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energético 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(42.3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kcal/100mL)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. El menor contenido medio proteico lo presentaron las bebidas de avena, con 1.03g/100mL, mientras que las bebidas de soja presentaron un contenido medio </w:t>
      </w:r>
      <w:r w:rsidR="004001A3" w:rsidRPr="00961DA5">
        <w:rPr>
          <w:rFonts w:ascii="Palatino Linotype" w:hAnsi="Palatino Linotype"/>
          <w:color w:val="000000"/>
          <w:sz w:val="20"/>
          <w:szCs w:val="20"/>
        </w:rPr>
        <w:t>proteico superior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 a los otros tipos de bebidas vegetales con 2.36g/100mL. La leche de vaca, por su lado, presentó el mayor contenido medio en grasas saturadas con </w:t>
      </w:r>
      <w:r w:rsidR="00694676">
        <w:rPr>
          <w:rFonts w:ascii="Palatino Linotype" w:hAnsi="Palatino Linotype"/>
          <w:color w:val="000000"/>
          <w:sz w:val="20"/>
          <w:szCs w:val="20"/>
        </w:rPr>
        <w:t>1.32g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/100mL y el mayor contenido medio proteico con 3.24g/100mL.</w:t>
      </w:r>
    </w:p>
    <w:p w14:paraId="267D9F64" w14:textId="43C67E1E" w:rsidR="00EE5D8F" w:rsidRPr="00513932" w:rsidRDefault="00BB300D" w:rsidP="00513932">
      <w:pPr>
        <w:rPr>
          <w:rFonts w:ascii="Palatino Linotype" w:hAnsi="Palatino Linotype"/>
        </w:rPr>
      </w:pPr>
      <w:r w:rsidRPr="00D15922">
        <w:rPr>
          <w:rFonts w:ascii="Palatino Linotype" w:hAnsi="Palatino Linotype"/>
        </w:rPr>
        <w:t xml:space="preserve">3.2. </w:t>
      </w:r>
      <w:r w:rsidR="00961DA5">
        <w:rPr>
          <w:rFonts w:ascii="Palatino Linotype" w:hAnsi="Palatino Linotype"/>
        </w:rPr>
        <w:t>DISTRIBUCIÓN DE VARIABLES NUTRICIONALES</w:t>
      </w:r>
      <w:r w:rsidR="00C67297">
        <w:rPr>
          <w:rFonts w:ascii="Palatino Linotype" w:hAnsi="Palatino Linotype"/>
          <w:noProof/>
          <w:sz w:val="20"/>
          <w:szCs w:val="20"/>
        </w:rPr>
        <w:drawing>
          <wp:inline distT="0" distB="0" distL="0" distR="0" wp14:anchorId="1278B2A5" wp14:editId="19102EF3">
            <wp:extent cx="2588456" cy="2157148"/>
            <wp:effectExtent l="0" t="0" r="2540" b="1905"/>
            <wp:docPr id="1814922868" name="Imagen 17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22868" name="Imagen 17" descr="Gráfico, Gráfico de cajas y bigotes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968" cy="21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7297">
        <w:rPr>
          <w:rFonts w:ascii="Palatino Linotype" w:hAnsi="Palatino Linotype"/>
          <w:noProof/>
          <w:sz w:val="20"/>
          <w:szCs w:val="20"/>
        </w:rPr>
        <w:drawing>
          <wp:inline distT="0" distB="0" distL="0" distR="0" wp14:anchorId="30E122A7" wp14:editId="739793DB">
            <wp:extent cx="1885071" cy="1570966"/>
            <wp:effectExtent l="0" t="0" r="0" b="4445"/>
            <wp:docPr id="393693356" name="Imagen 19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93356" name="Imagen 19" descr="Gráfico, Gráfico de cajas y bigotes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7369" cy="158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1BA8" w14:textId="528CF2BF" w:rsidR="00EE5D8F" w:rsidRDefault="00EE5D8F" w:rsidP="00C73749">
      <w:pPr>
        <w:pStyle w:val="NormalWeb"/>
      </w:pPr>
    </w:p>
    <w:p w14:paraId="4087E5B1" w14:textId="14588F6A" w:rsidR="007A4009" w:rsidRPr="007A4009" w:rsidRDefault="00C67297" w:rsidP="007A4009">
      <w:pPr>
        <w:pStyle w:val="NormalWeb"/>
      </w:pPr>
      <w:r>
        <w:rPr>
          <w:rFonts w:ascii="Palatino Linotype" w:hAnsi="Palatino Linotype"/>
          <w:noProof/>
          <w:sz w:val="20"/>
          <w:szCs w:val="20"/>
        </w:rPr>
        <w:lastRenderedPageBreak/>
        <w:drawing>
          <wp:inline distT="0" distB="0" distL="0" distR="0" wp14:anchorId="0018E1F2" wp14:editId="1724A340">
            <wp:extent cx="2542963" cy="2119235"/>
            <wp:effectExtent l="0" t="0" r="0" b="1905"/>
            <wp:docPr id="2124207159" name="Imagen 18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07159" name="Imagen 18" descr="Gráfico, Gráfico de cajas y bigotes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547" cy="214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alatino Linotype" w:hAnsi="Palatino Linotype"/>
          <w:noProof/>
          <w:sz w:val="20"/>
          <w:szCs w:val="20"/>
        </w:rPr>
        <w:drawing>
          <wp:inline distT="0" distB="0" distL="0" distR="0" wp14:anchorId="3605FE39" wp14:editId="1EF68FCD">
            <wp:extent cx="3207284" cy="2672862"/>
            <wp:effectExtent l="0" t="0" r="6350" b="0"/>
            <wp:docPr id="245659230" name="Imagen 20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59230" name="Imagen 20" descr="Gráfico, Gráfico de cajas y bigote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6018" cy="268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alatino Linotype" w:hAnsi="Palatino Linotype"/>
          <w:noProof/>
          <w:sz w:val="20"/>
          <w:szCs w:val="20"/>
        </w:rPr>
        <w:drawing>
          <wp:inline distT="0" distB="0" distL="0" distR="0" wp14:anchorId="24828743" wp14:editId="3E8BE032">
            <wp:extent cx="3055360" cy="2546253"/>
            <wp:effectExtent l="0" t="0" r="5715" b="0"/>
            <wp:docPr id="1685702059" name="Imagen 16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02059" name="Imagen 16" descr="Gráfico, Gráfico de cajas y bigotes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710" cy="257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0F51" w14:textId="39767CA7" w:rsidR="007A4009" w:rsidRDefault="007A4009" w:rsidP="00E112A4">
      <w:pPr>
        <w:pStyle w:val="NormalWeb"/>
        <w:jc w:val="both"/>
        <w:rPr>
          <w:rFonts w:ascii="Palatino Linotype" w:hAnsi="Palatino Linotype"/>
          <w:sz w:val="20"/>
          <w:szCs w:val="20"/>
        </w:rPr>
      </w:pPr>
    </w:p>
    <w:p w14:paraId="13E8B158" w14:textId="77777777" w:rsidR="007A4009" w:rsidRDefault="007A4009" w:rsidP="00E112A4">
      <w:pPr>
        <w:pStyle w:val="NormalWeb"/>
        <w:jc w:val="both"/>
        <w:rPr>
          <w:rFonts w:ascii="Palatino Linotype" w:hAnsi="Palatino Linotype"/>
          <w:sz w:val="20"/>
          <w:szCs w:val="20"/>
        </w:rPr>
      </w:pPr>
    </w:p>
    <w:p w14:paraId="47550E8D" w14:textId="77777777" w:rsidR="007A4009" w:rsidRDefault="007A4009" w:rsidP="00E112A4">
      <w:pPr>
        <w:pStyle w:val="NormalWeb"/>
        <w:jc w:val="both"/>
        <w:rPr>
          <w:rFonts w:ascii="Palatino Linotype" w:hAnsi="Palatino Linotype"/>
          <w:sz w:val="20"/>
          <w:szCs w:val="20"/>
        </w:rPr>
      </w:pPr>
    </w:p>
    <w:p w14:paraId="7BD9140B" w14:textId="60E83563" w:rsidR="004001A3" w:rsidRPr="00E112A4" w:rsidRDefault="004001A3" w:rsidP="00E112A4">
      <w:pPr>
        <w:pStyle w:val="NormalWeb"/>
        <w:jc w:val="both"/>
        <w:rPr>
          <w:rFonts w:ascii="Palatino Linotype" w:hAnsi="Palatino Linotype"/>
          <w:sz w:val="20"/>
          <w:szCs w:val="20"/>
        </w:rPr>
      </w:pPr>
      <w:r w:rsidRPr="00E112A4">
        <w:rPr>
          <w:rFonts w:ascii="Palatino Linotype" w:hAnsi="Palatino Linotype"/>
          <w:sz w:val="20"/>
          <w:szCs w:val="20"/>
        </w:rPr>
        <w:lastRenderedPageBreak/>
        <w:t xml:space="preserve">Las figuras 1-5, representan la distribución de los valores nutricionales de energía, grasa total, grasas saturadas, azúcares y proteínas para las cuatro categorías de bebidas analizadas. Como dato general, se observaron diferencias tanto en la distribución como en </w:t>
      </w:r>
      <w:r w:rsidR="00E112A4" w:rsidRPr="00E112A4">
        <w:rPr>
          <w:rFonts w:ascii="Palatino Linotype" w:hAnsi="Palatino Linotype"/>
          <w:sz w:val="20"/>
          <w:szCs w:val="20"/>
        </w:rPr>
        <w:t>la dispersión</w:t>
      </w:r>
      <w:r w:rsidRPr="00E112A4">
        <w:rPr>
          <w:rFonts w:ascii="Palatino Linotype" w:hAnsi="Palatino Linotype"/>
          <w:sz w:val="20"/>
          <w:szCs w:val="20"/>
        </w:rPr>
        <w:t xml:space="preserve"> de los nutrientes entre las diferentes categorías de bebidas.</w:t>
      </w:r>
    </w:p>
    <w:p w14:paraId="7619A4A7" w14:textId="6F43E352" w:rsidR="004001A3" w:rsidRPr="00E112A4" w:rsidRDefault="00E112A4" w:rsidP="00E112A4">
      <w:pPr>
        <w:pStyle w:val="NormalWeb"/>
        <w:jc w:val="both"/>
        <w:rPr>
          <w:rFonts w:ascii="Palatino Linotype" w:hAnsi="Palatino Linotype"/>
          <w:sz w:val="20"/>
          <w:szCs w:val="20"/>
        </w:rPr>
      </w:pPr>
      <w:r w:rsidRPr="00E112A4">
        <w:rPr>
          <w:rFonts w:ascii="Palatino Linotype" w:hAnsi="Palatino Linotype"/>
          <w:sz w:val="20"/>
          <w:szCs w:val="20"/>
        </w:rPr>
        <w:t xml:space="preserve">Las bebidas de almendra presentaron mayor dispersión en el contenido energético y en el contenido de azúcares y proteínas </w:t>
      </w:r>
      <w:r w:rsidR="00CE5E81">
        <w:rPr>
          <w:rFonts w:ascii="Palatino Linotype" w:hAnsi="Palatino Linotype"/>
          <w:sz w:val="20"/>
          <w:szCs w:val="20"/>
        </w:rPr>
        <w:t>mientras que</w:t>
      </w:r>
      <w:r w:rsidRPr="00E112A4">
        <w:rPr>
          <w:rFonts w:ascii="Palatino Linotype" w:hAnsi="Palatino Linotype"/>
          <w:sz w:val="20"/>
          <w:szCs w:val="20"/>
        </w:rPr>
        <w:t xml:space="preserve"> la</w:t>
      </w:r>
      <w:r w:rsidR="00231E37">
        <w:rPr>
          <w:rFonts w:ascii="Palatino Linotype" w:hAnsi="Palatino Linotype"/>
          <w:sz w:val="20"/>
          <w:szCs w:val="20"/>
        </w:rPr>
        <w:t>s</w:t>
      </w:r>
      <w:r w:rsidRPr="00E112A4">
        <w:rPr>
          <w:rFonts w:ascii="Palatino Linotype" w:hAnsi="Palatino Linotype"/>
          <w:sz w:val="20"/>
          <w:szCs w:val="20"/>
        </w:rPr>
        <w:t xml:space="preserve"> bebida</w:t>
      </w:r>
      <w:r w:rsidR="00231E37">
        <w:rPr>
          <w:rFonts w:ascii="Palatino Linotype" w:hAnsi="Palatino Linotype"/>
          <w:sz w:val="20"/>
          <w:szCs w:val="20"/>
        </w:rPr>
        <w:t xml:space="preserve">s </w:t>
      </w:r>
      <w:r w:rsidRPr="00E112A4">
        <w:rPr>
          <w:rFonts w:ascii="Palatino Linotype" w:hAnsi="Palatino Linotype"/>
          <w:sz w:val="20"/>
          <w:szCs w:val="20"/>
        </w:rPr>
        <w:t>de avena present</w:t>
      </w:r>
      <w:r w:rsidR="00231E37">
        <w:rPr>
          <w:rFonts w:ascii="Palatino Linotype" w:hAnsi="Palatino Linotype"/>
          <w:sz w:val="20"/>
          <w:szCs w:val="20"/>
        </w:rPr>
        <w:t>aron</w:t>
      </w:r>
      <w:r w:rsidRPr="00E112A4">
        <w:rPr>
          <w:rFonts w:ascii="Palatino Linotype" w:hAnsi="Palatino Linotype"/>
          <w:sz w:val="20"/>
          <w:szCs w:val="20"/>
        </w:rPr>
        <w:t xml:space="preserve"> distribuciones mucho más uniformes. Por otro lado, las bebidas de soja presentaron valores intermedios para la mayoría de los nutrientes analizados, así como una mayor amplitud del contenido proteico y la leche de vaca </w:t>
      </w:r>
      <w:r w:rsidR="00CE5E81">
        <w:rPr>
          <w:rFonts w:ascii="Palatino Linotype" w:hAnsi="Palatino Linotype"/>
          <w:sz w:val="20"/>
          <w:szCs w:val="20"/>
        </w:rPr>
        <w:t>presentó</w:t>
      </w:r>
      <w:r w:rsidRPr="00E112A4">
        <w:rPr>
          <w:rFonts w:ascii="Palatino Linotype" w:hAnsi="Palatino Linotype"/>
          <w:sz w:val="20"/>
          <w:szCs w:val="20"/>
        </w:rPr>
        <w:t xml:space="preserve"> el mayor valor tanto para el contenido proteico como el contenido en grasas saturadas.</w:t>
      </w:r>
    </w:p>
    <w:p w14:paraId="4C867DF9" w14:textId="6D10B6C8" w:rsidR="00E112A4" w:rsidRPr="00E112A4" w:rsidRDefault="00E112A4" w:rsidP="00E112A4">
      <w:pPr>
        <w:pStyle w:val="NormalWeb"/>
        <w:jc w:val="both"/>
        <w:rPr>
          <w:rFonts w:ascii="Palatino Linotype" w:hAnsi="Palatino Linotype"/>
          <w:sz w:val="20"/>
          <w:szCs w:val="20"/>
        </w:rPr>
      </w:pPr>
      <w:r w:rsidRPr="00E112A4">
        <w:rPr>
          <w:rFonts w:ascii="Palatino Linotype" w:hAnsi="Palatino Linotype"/>
          <w:sz w:val="20"/>
          <w:szCs w:val="20"/>
        </w:rPr>
        <w:t xml:space="preserve">Los </w:t>
      </w:r>
      <w:proofErr w:type="spellStart"/>
      <w:r w:rsidRPr="00E112A4">
        <w:rPr>
          <w:rFonts w:ascii="Palatino Linotype" w:hAnsi="Palatino Linotype"/>
          <w:sz w:val="20"/>
          <w:szCs w:val="20"/>
        </w:rPr>
        <w:t>boxplots</w:t>
      </w:r>
      <w:proofErr w:type="spellEnd"/>
      <w:r w:rsidRPr="00E112A4">
        <w:rPr>
          <w:rFonts w:ascii="Palatino Linotype" w:hAnsi="Palatino Linotype"/>
          <w:sz w:val="20"/>
          <w:szCs w:val="20"/>
        </w:rPr>
        <w:t xml:space="preserve"> representan el rango intercuartílico y la mediana junto a posibles valores </w:t>
      </w:r>
      <w:r w:rsidR="00CE5E81">
        <w:rPr>
          <w:rFonts w:ascii="Palatino Linotype" w:hAnsi="Palatino Linotype"/>
          <w:sz w:val="20"/>
          <w:szCs w:val="20"/>
        </w:rPr>
        <w:t>atípicos</w:t>
      </w:r>
      <w:r w:rsidRPr="00E112A4">
        <w:rPr>
          <w:rFonts w:ascii="Palatino Linotype" w:hAnsi="Palatino Linotype"/>
          <w:sz w:val="20"/>
          <w:szCs w:val="20"/>
        </w:rPr>
        <w:t xml:space="preserve"> observados para cada categoría de bebida.</w:t>
      </w:r>
    </w:p>
    <w:p w14:paraId="3E43B024" w14:textId="2691F2A3" w:rsidR="002400BC" w:rsidRDefault="002400BC">
      <w:r>
        <w:rPr>
          <w:noProof/>
        </w:rPr>
        <w:drawing>
          <wp:inline distT="0" distB="0" distL="0" distR="0" wp14:anchorId="481613AF" wp14:editId="2F577F64">
            <wp:extent cx="2897945" cy="2415068"/>
            <wp:effectExtent l="0" t="0" r="0" b="0"/>
            <wp:docPr id="364449639" name="Imagen 2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449639" name="Imagen 21" descr="Gráfico, Gráfico de cajas y bigotes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2714" cy="244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CA9" w14:textId="77777777" w:rsidR="00120146" w:rsidRDefault="00120146"/>
    <w:p w14:paraId="2234C818" w14:textId="0C6E624B" w:rsidR="00120146" w:rsidRPr="009560B1" w:rsidRDefault="009560B1" w:rsidP="009560B1">
      <w:pPr>
        <w:jc w:val="both"/>
        <w:rPr>
          <w:rFonts w:ascii="Palatino Linotype" w:hAnsi="Palatino Linotype"/>
          <w:sz w:val="20"/>
          <w:szCs w:val="20"/>
        </w:rPr>
      </w:pPr>
      <w:r w:rsidRPr="009560B1">
        <w:rPr>
          <w:rFonts w:ascii="Palatino Linotype" w:hAnsi="Palatino Linotype"/>
          <w:sz w:val="20"/>
          <w:szCs w:val="20"/>
        </w:rPr>
        <w:t xml:space="preserve">La figura x representa la distribución del </w:t>
      </w:r>
      <w:proofErr w:type="spellStart"/>
      <w:r w:rsidRPr="009560B1">
        <w:rPr>
          <w:rFonts w:ascii="Palatino Linotype" w:hAnsi="Palatino Linotype"/>
          <w:sz w:val="20"/>
          <w:szCs w:val="20"/>
        </w:rPr>
        <w:t>scoring</w:t>
      </w:r>
      <w:proofErr w:type="spellEnd"/>
      <w:r w:rsidRPr="009560B1">
        <w:rPr>
          <w:rFonts w:ascii="Palatino Linotype" w:hAnsi="Palatino Linotype"/>
          <w:sz w:val="20"/>
          <w:szCs w:val="20"/>
        </w:rPr>
        <w:t xml:space="preserve"> nutricional estandarizado por</w:t>
      </w:r>
      <w:r w:rsidR="00262718">
        <w:rPr>
          <w:rFonts w:ascii="Palatino Linotype" w:hAnsi="Palatino Linotype"/>
          <w:sz w:val="20"/>
          <w:szCs w:val="20"/>
        </w:rPr>
        <w:t xml:space="preserve"> cada</w:t>
      </w:r>
      <w:r w:rsidRPr="009560B1">
        <w:rPr>
          <w:rFonts w:ascii="Palatino Linotype" w:hAnsi="Palatino Linotype"/>
          <w:sz w:val="20"/>
          <w:szCs w:val="20"/>
        </w:rPr>
        <w:t xml:space="preserve"> tipo de bebida analizada. Por un lado, las bebidas con mayor dispersión resultaron ser la</w:t>
      </w:r>
      <w:r w:rsidR="0053624A">
        <w:rPr>
          <w:rFonts w:ascii="Palatino Linotype" w:hAnsi="Palatino Linotype"/>
          <w:sz w:val="20"/>
          <w:szCs w:val="20"/>
        </w:rPr>
        <w:t>s</w:t>
      </w:r>
      <w:r w:rsidRPr="009560B1">
        <w:rPr>
          <w:rFonts w:ascii="Palatino Linotype" w:hAnsi="Palatino Linotype"/>
          <w:sz w:val="20"/>
          <w:szCs w:val="20"/>
        </w:rPr>
        <w:t xml:space="preserve"> bebida</w:t>
      </w:r>
      <w:r w:rsidR="0053624A">
        <w:rPr>
          <w:rFonts w:ascii="Palatino Linotype" w:hAnsi="Palatino Linotype"/>
          <w:sz w:val="20"/>
          <w:szCs w:val="20"/>
        </w:rPr>
        <w:t>s</w:t>
      </w:r>
      <w:r w:rsidRPr="009560B1">
        <w:rPr>
          <w:rFonts w:ascii="Palatino Linotype" w:hAnsi="Palatino Linotype"/>
          <w:sz w:val="20"/>
          <w:szCs w:val="20"/>
        </w:rPr>
        <w:t xml:space="preserve"> de almendra y la leche de vaca, presentando algunos valores atípicos, mientras que las bebidas de soja y las bebidas de avena presentaron distribuciones con más concentración cerca de sus medianas.</w:t>
      </w:r>
    </w:p>
    <w:p w14:paraId="665B3418" w14:textId="77777777" w:rsidR="00120146" w:rsidRDefault="00120146"/>
    <w:p w14:paraId="44719B99" w14:textId="535DE09E" w:rsidR="00955796" w:rsidRPr="00955796" w:rsidRDefault="00955796" w:rsidP="00955796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 w:rsidRPr="00955796">
        <w:rPr>
          <w:rFonts w:ascii="Palatino Linotype" w:hAnsi="Palatino Linotype"/>
          <w:color w:val="000000" w:themeColor="text1"/>
        </w:rPr>
        <w:t xml:space="preserve">Tabla </w:t>
      </w:r>
      <w:r w:rsidRPr="00955796">
        <w:rPr>
          <w:rFonts w:ascii="Palatino Linotype" w:hAnsi="Palatino Linotype"/>
          <w:color w:val="000000" w:themeColor="text1"/>
        </w:rPr>
        <w:fldChar w:fldCharType="begin"/>
      </w:r>
      <w:r w:rsidRPr="00955796">
        <w:rPr>
          <w:rFonts w:ascii="Palatino Linotype" w:hAnsi="Palatino Linotype"/>
          <w:color w:val="000000" w:themeColor="text1"/>
        </w:rPr>
        <w:instrText xml:space="preserve"> SEQ Tabla \* ARABIC </w:instrText>
      </w:r>
      <w:r w:rsidRPr="00955796">
        <w:rPr>
          <w:rFonts w:ascii="Palatino Linotype" w:hAnsi="Palatino Linotype"/>
          <w:color w:val="000000" w:themeColor="text1"/>
        </w:rPr>
        <w:fldChar w:fldCharType="separate"/>
      </w:r>
      <w:r w:rsidRPr="00955796">
        <w:rPr>
          <w:rFonts w:ascii="Palatino Linotype" w:hAnsi="Palatino Linotype"/>
          <w:noProof/>
          <w:color w:val="000000" w:themeColor="text1"/>
        </w:rPr>
        <w:t>2</w:t>
      </w:r>
      <w:r w:rsidRPr="00955796">
        <w:rPr>
          <w:rFonts w:ascii="Palatino Linotype" w:hAnsi="Palatino Linotype"/>
          <w:color w:val="000000" w:themeColor="text1"/>
        </w:rPr>
        <w:fldChar w:fldCharType="end"/>
      </w:r>
      <w:r w:rsidRPr="00955796">
        <w:rPr>
          <w:rFonts w:ascii="Palatino Linotype" w:hAnsi="Palatino Linotype"/>
          <w:color w:val="000000" w:themeColor="text1"/>
        </w:rPr>
        <w:t xml:space="preserve">. Valores del </w:t>
      </w:r>
      <w:proofErr w:type="spellStart"/>
      <w:r w:rsidRPr="00955796">
        <w:rPr>
          <w:rFonts w:ascii="Palatino Linotype" w:hAnsi="Palatino Linotype"/>
          <w:color w:val="000000" w:themeColor="text1"/>
        </w:rPr>
        <w:t>Scoring</w:t>
      </w:r>
      <w:proofErr w:type="spellEnd"/>
      <w:r w:rsidRPr="00955796">
        <w:rPr>
          <w:rFonts w:ascii="Palatino Linotype" w:hAnsi="Palatino Linotype"/>
          <w:color w:val="000000" w:themeColor="text1"/>
        </w:rPr>
        <w:t xml:space="preserve"> nutricional </w:t>
      </w:r>
      <w:proofErr w:type="spellStart"/>
      <w:r w:rsidRPr="00955796">
        <w:rPr>
          <w:rFonts w:ascii="Palatino Linotype" w:hAnsi="Palatino Linotype"/>
          <w:color w:val="000000" w:themeColor="text1"/>
        </w:rPr>
        <w:t>estandarizado</w:t>
      </w:r>
      <w:proofErr w:type="spellEnd"/>
      <w:r w:rsidRPr="00955796">
        <w:rPr>
          <w:rFonts w:ascii="Palatino Linotype" w:hAnsi="Palatino Linotype"/>
          <w:color w:val="000000" w:themeColor="text1"/>
        </w:rPr>
        <w:t xml:space="preserve"> </w:t>
      </w:r>
      <w:proofErr w:type="spellStart"/>
      <w:r w:rsidRPr="00955796">
        <w:rPr>
          <w:rFonts w:ascii="Palatino Linotype" w:hAnsi="Palatino Linotype"/>
          <w:color w:val="000000" w:themeColor="text1"/>
        </w:rPr>
        <w:t>expresados</w:t>
      </w:r>
      <w:proofErr w:type="spellEnd"/>
      <w:r w:rsidRPr="00955796">
        <w:rPr>
          <w:rFonts w:ascii="Palatino Linotype" w:hAnsi="Palatino Linotype"/>
          <w:color w:val="000000" w:themeColor="text1"/>
        </w:rPr>
        <w:t xml:space="preserve"> como </w:t>
      </w:r>
      <w:proofErr w:type="spellStart"/>
      <w:r w:rsidRPr="00955796">
        <w:rPr>
          <w:rFonts w:ascii="Palatino Linotype" w:hAnsi="Palatino Linotype"/>
          <w:color w:val="000000" w:themeColor="text1"/>
        </w:rPr>
        <w:t>media</w:t>
      </w:r>
      <w:proofErr w:type="spellEnd"/>
      <w:r w:rsidRPr="00955796">
        <w:rPr>
          <w:rFonts w:ascii="Palatino Linotype" w:hAnsi="Palatino Linotype"/>
          <w:color w:val="000000" w:themeColor="text1"/>
        </w:rPr>
        <w:t xml:space="preserve"> ±  </w:t>
      </w:r>
      <w:proofErr w:type="spellStart"/>
      <w:r w:rsidRPr="00955796">
        <w:rPr>
          <w:rFonts w:ascii="Palatino Linotype" w:hAnsi="Palatino Linotype"/>
          <w:color w:val="000000" w:themeColor="text1"/>
        </w:rPr>
        <w:t>desviación</w:t>
      </w:r>
      <w:proofErr w:type="spellEnd"/>
      <w:r w:rsidRPr="00955796">
        <w:rPr>
          <w:rFonts w:ascii="Palatino Linotype" w:hAnsi="Palatino Linotype"/>
          <w:color w:val="000000" w:themeColor="text1"/>
        </w:rPr>
        <w:t xml:space="preserve"> </w:t>
      </w:r>
      <w:proofErr w:type="spellStart"/>
      <w:r w:rsidRPr="00955796">
        <w:rPr>
          <w:rFonts w:ascii="Palatino Linotype" w:hAnsi="Palatino Linotype"/>
          <w:color w:val="000000" w:themeColor="text1"/>
        </w:rPr>
        <w:t>estándar</w:t>
      </w:r>
      <w:proofErr w:type="spellEnd"/>
    </w:p>
    <w:tbl>
      <w:tblPr>
        <w:tblW w:w="5149" w:type="dxa"/>
        <w:tblInd w:w="16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8"/>
        <w:gridCol w:w="1843"/>
        <w:gridCol w:w="1888"/>
      </w:tblGrid>
      <w:tr w:rsidR="00220BD6" w14:paraId="7D7D6679" w14:textId="77777777" w:rsidTr="00344069">
        <w:trPr>
          <w:trHeight w:val="30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85512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Tipo de bebida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46776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 (productos)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1DE20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220BD6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Scoring</w:t>
            </w:r>
            <w:proofErr w:type="spellEnd"/>
            <w:r w:rsidRPr="00220BD6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 (media ± SD)</w:t>
            </w:r>
          </w:p>
        </w:tc>
      </w:tr>
      <w:tr w:rsidR="00220BD6" w14:paraId="2917B870" w14:textId="77777777" w:rsidTr="00344069">
        <w:trPr>
          <w:trHeight w:val="30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12BBD" w14:textId="77777777" w:rsidR="00220BD6" w:rsidRPr="00220BD6" w:rsidRDefault="00220BD6" w:rsidP="00220BD6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87CE32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FE3A83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-0.86 ± 2.78</w:t>
            </w:r>
          </w:p>
        </w:tc>
      </w:tr>
      <w:tr w:rsidR="00220BD6" w14:paraId="3B253D82" w14:textId="77777777" w:rsidTr="00344069">
        <w:trPr>
          <w:trHeight w:val="30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B7C7A" w14:textId="77777777" w:rsidR="00220BD6" w:rsidRPr="00220BD6" w:rsidRDefault="00220BD6" w:rsidP="00220BD6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B31B5A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2D2D08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0.17 ± 1.46</w:t>
            </w:r>
          </w:p>
        </w:tc>
      </w:tr>
      <w:tr w:rsidR="00220BD6" w14:paraId="0DC8737C" w14:textId="77777777" w:rsidTr="00344069">
        <w:trPr>
          <w:trHeight w:val="30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58782" w14:textId="77777777" w:rsidR="00220BD6" w:rsidRPr="00220BD6" w:rsidRDefault="00220BD6" w:rsidP="00220BD6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soja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1C538E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BE3373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-0.41 ± 2.13</w:t>
            </w:r>
          </w:p>
        </w:tc>
      </w:tr>
      <w:tr w:rsidR="00220BD6" w14:paraId="13F1E01D" w14:textId="77777777" w:rsidTr="00344069">
        <w:trPr>
          <w:trHeight w:val="30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31212" w14:textId="77777777" w:rsidR="00220BD6" w:rsidRPr="00220BD6" w:rsidRDefault="00220BD6" w:rsidP="00220BD6">
            <w:pPr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Leche de vaca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D914F5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05BB5E" w14:textId="77777777" w:rsidR="00220BD6" w:rsidRPr="00220BD6" w:rsidRDefault="00220BD6" w:rsidP="00220BD6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220BD6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1.50 ± 2.67</w:t>
            </w:r>
          </w:p>
        </w:tc>
      </w:tr>
    </w:tbl>
    <w:p w14:paraId="6CD44D08" w14:textId="6BCCC2C2" w:rsidR="009560B1" w:rsidRPr="0053624A" w:rsidRDefault="0053624A" w:rsidP="0092076E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  <w:r w:rsidRPr="0053624A">
        <w:rPr>
          <w:rFonts w:ascii="Palatino Linotype" w:hAnsi="Palatino Linotype"/>
          <w:color w:val="000000"/>
          <w:sz w:val="20"/>
          <w:szCs w:val="20"/>
        </w:rPr>
        <w:t xml:space="preserve">En la Tabla 2, se muestra el número de productos (n) analizados para cada tipo de bebida y el valor medio junto a la variabilidad del </w:t>
      </w:r>
      <w:proofErr w:type="spellStart"/>
      <w:r w:rsidRPr="0053624A">
        <w:rPr>
          <w:rFonts w:ascii="Palatino Linotype" w:hAnsi="Palatino Linotype"/>
          <w:color w:val="000000"/>
          <w:sz w:val="20"/>
          <w:szCs w:val="20"/>
        </w:rPr>
        <w:t>scoring</w:t>
      </w:r>
      <w:proofErr w:type="spellEnd"/>
      <w:r w:rsidRPr="0053624A">
        <w:rPr>
          <w:rFonts w:ascii="Palatino Linotype" w:hAnsi="Palatino Linotype"/>
          <w:color w:val="000000"/>
          <w:sz w:val="20"/>
          <w:szCs w:val="20"/>
        </w:rPr>
        <w:t xml:space="preserve"> nutricional estandarizado. </w:t>
      </w:r>
      <w:r>
        <w:rPr>
          <w:rFonts w:ascii="Palatino Linotype" w:hAnsi="Palatino Linotype"/>
          <w:color w:val="000000"/>
          <w:sz w:val="20"/>
          <w:szCs w:val="20"/>
        </w:rPr>
        <w:t>L</w:t>
      </w:r>
      <w:r w:rsidRPr="0053624A">
        <w:rPr>
          <w:rFonts w:ascii="Palatino Linotype" w:hAnsi="Palatino Linotype"/>
          <w:color w:val="000000"/>
          <w:sz w:val="20"/>
          <w:szCs w:val="20"/>
        </w:rPr>
        <w:t>as bebidas de almendra</w:t>
      </w:r>
      <w:r>
        <w:rPr>
          <w:rFonts w:ascii="Palatino Linotype" w:hAnsi="Palatino Linotype"/>
          <w:color w:val="000000"/>
          <w:sz w:val="20"/>
          <w:szCs w:val="20"/>
        </w:rPr>
        <w:t xml:space="preserve"> mostraron el </w:t>
      </w:r>
      <w:proofErr w:type="spellStart"/>
      <w:r>
        <w:rPr>
          <w:rFonts w:ascii="Palatino Linotype" w:hAnsi="Palatino Linotype"/>
          <w:color w:val="000000"/>
          <w:sz w:val="20"/>
          <w:szCs w:val="20"/>
        </w:rPr>
        <w:t>scoring</w:t>
      </w:r>
      <w:proofErr w:type="spellEnd"/>
      <w:r>
        <w:rPr>
          <w:rFonts w:ascii="Palatino Linotype" w:hAnsi="Palatino Linotype"/>
          <w:color w:val="000000"/>
          <w:sz w:val="20"/>
          <w:szCs w:val="20"/>
        </w:rPr>
        <w:t xml:space="preserve"> medio más bajo</w:t>
      </w:r>
      <w:r w:rsidRPr="0053624A">
        <w:rPr>
          <w:rFonts w:ascii="Palatino Linotype" w:hAnsi="Palatino Linotype"/>
          <w:color w:val="000000"/>
          <w:sz w:val="20"/>
          <w:szCs w:val="20"/>
        </w:rPr>
        <w:t xml:space="preserve"> mientras que la leche de vaca mostró el valor medio más elevado. Por su lado, las bebidas de soja y las bebidas de avena presentaron valores intermedios, aunque con distinta dispersión.</w:t>
      </w:r>
    </w:p>
    <w:p w14:paraId="3A8BCACC" w14:textId="7E1A79DF" w:rsidR="0092076E" w:rsidRDefault="00AC3A29" w:rsidP="0092076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E07E4B4" wp14:editId="0ED3DB65">
            <wp:extent cx="3156642" cy="2630659"/>
            <wp:effectExtent l="0" t="0" r="5715" b="0"/>
            <wp:docPr id="1400968210" name="Imagen 24" descr="Gráfico, Gráfico en casca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68210" name="Imagen 24" descr="Gráfico, Gráfico en cascad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918" cy="264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CA6FC" w14:textId="6C43A033" w:rsidR="006E1FB4" w:rsidRPr="00C401D7" w:rsidRDefault="00E70CF7" w:rsidP="00C401D7">
      <w:pPr>
        <w:jc w:val="both"/>
        <w:rPr>
          <w:rFonts w:ascii="Palatino Linotype" w:hAnsi="Palatino Linotype"/>
          <w:sz w:val="20"/>
          <w:szCs w:val="20"/>
        </w:rPr>
      </w:pPr>
      <w:r w:rsidRPr="00C401D7">
        <w:rPr>
          <w:rFonts w:ascii="Palatino Linotype" w:hAnsi="Palatino Linotype"/>
          <w:sz w:val="20"/>
          <w:szCs w:val="20"/>
        </w:rPr>
        <w:t xml:space="preserve">El gráfico X representa la media del </w:t>
      </w:r>
      <w:proofErr w:type="spellStart"/>
      <w:r w:rsidRPr="00C401D7">
        <w:rPr>
          <w:rFonts w:ascii="Palatino Linotype" w:hAnsi="Palatino Linotype"/>
          <w:sz w:val="20"/>
          <w:szCs w:val="20"/>
        </w:rPr>
        <w:t>scoring</w:t>
      </w:r>
      <w:proofErr w:type="spellEnd"/>
      <w:r w:rsidRPr="00C401D7">
        <w:rPr>
          <w:rFonts w:ascii="Palatino Linotype" w:hAnsi="Palatino Linotype"/>
          <w:sz w:val="20"/>
          <w:szCs w:val="20"/>
        </w:rPr>
        <w:t xml:space="preserve"> nutricional estandarizado por cada tipo de bebida. </w:t>
      </w:r>
      <w:r w:rsidR="00C401D7" w:rsidRPr="00C401D7">
        <w:rPr>
          <w:rFonts w:ascii="Palatino Linotype" w:hAnsi="Palatino Linotype"/>
          <w:sz w:val="20"/>
          <w:szCs w:val="20"/>
        </w:rPr>
        <w:t xml:space="preserve">La leche de vaca mostró el valor medio más elevado, </w:t>
      </w:r>
      <w:r w:rsidR="00584285">
        <w:rPr>
          <w:rFonts w:ascii="Palatino Linotype" w:hAnsi="Palatino Linotype"/>
          <w:sz w:val="20"/>
          <w:szCs w:val="20"/>
        </w:rPr>
        <w:t>mientras que</w:t>
      </w:r>
      <w:r w:rsidR="00C401D7" w:rsidRPr="00C401D7">
        <w:rPr>
          <w:rFonts w:ascii="Palatino Linotype" w:hAnsi="Palatino Linotype"/>
          <w:sz w:val="20"/>
          <w:szCs w:val="20"/>
        </w:rPr>
        <w:t xml:space="preserve"> las bebidas de soja y las bebidas de almendra, que mostraron medias negativas. Las bebidas de avena, por su lado, mostraron un valor medio cercano a cero.</w:t>
      </w:r>
    </w:p>
    <w:p w14:paraId="1774EBCC" w14:textId="77777777" w:rsidR="006E1FB4" w:rsidRDefault="006E1FB4" w:rsidP="006E1FB4">
      <w:pPr>
        <w:rPr>
          <w:noProof/>
        </w:rPr>
      </w:pPr>
    </w:p>
    <w:p w14:paraId="1252A740" w14:textId="77777777" w:rsidR="00F15347" w:rsidRDefault="00F15347" w:rsidP="006E1FB4">
      <w:pPr>
        <w:rPr>
          <w:rFonts w:ascii="-webkit-standard" w:hAnsi="-webkit-standard"/>
          <w:color w:val="000000"/>
          <w:sz w:val="27"/>
          <w:szCs w:val="27"/>
        </w:rPr>
      </w:pPr>
    </w:p>
    <w:p w14:paraId="41FAB76A" w14:textId="7965A81B" w:rsidR="00F15347" w:rsidRPr="006E1FB4" w:rsidRDefault="00F15347" w:rsidP="006E1FB4"/>
    <w:sectPr w:rsidR="00F15347" w:rsidRPr="006E1F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0847"/>
    <w:multiLevelType w:val="multilevel"/>
    <w:tmpl w:val="63E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441BF"/>
    <w:multiLevelType w:val="multilevel"/>
    <w:tmpl w:val="E55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715054"/>
    <w:multiLevelType w:val="multilevel"/>
    <w:tmpl w:val="B508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E8661D"/>
    <w:multiLevelType w:val="multilevel"/>
    <w:tmpl w:val="774C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AA75B0"/>
    <w:multiLevelType w:val="multilevel"/>
    <w:tmpl w:val="3FA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729448">
    <w:abstractNumId w:val="2"/>
  </w:num>
  <w:num w:numId="2" w16cid:durableId="1291519464">
    <w:abstractNumId w:val="4"/>
  </w:num>
  <w:num w:numId="3" w16cid:durableId="343439533">
    <w:abstractNumId w:val="1"/>
  </w:num>
  <w:num w:numId="4" w16cid:durableId="951324088">
    <w:abstractNumId w:val="3"/>
  </w:num>
  <w:num w:numId="5" w16cid:durableId="211540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00D"/>
    <w:rsid w:val="000710E0"/>
    <w:rsid w:val="00071E7D"/>
    <w:rsid w:val="00076087"/>
    <w:rsid w:val="000C0004"/>
    <w:rsid w:val="00120146"/>
    <w:rsid w:val="00137BFB"/>
    <w:rsid w:val="001407DB"/>
    <w:rsid w:val="00147AF7"/>
    <w:rsid w:val="00173773"/>
    <w:rsid w:val="001D736C"/>
    <w:rsid w:val="00220BD6"/>
    <w:rsid w:val="00223F12"/>
    <w:rsid w:val="00231E37"/>
    <w:rsid w:val="002400BC"/>
    <w:rsid w:val="0024179E"/>
    <w:rsid w:val="00262718"/>
    <w:rsid w:val="00325C40"/>
    <w:rsid w:val="00344069"/>
    <w:rsid w:val="003634D6"/>
    <w:rsid w:val="003B0DAE"/>
    <w:rsid w:val="004001A3"/>
    <w:rsid w:val="00435ACC"/>
    <w:rsid w:val="00496ACB"/>
    <w:rsid w:val="00513932"/>
    <w:rsid w:val="0053624A"/>
    <w:rsid w:val="005727D5"/>
    <w:rsid w:val="00584285"/>
    <w:rsid w:val="005A5900"/>
    <w:rsid w:val="005B2967"/>
    <w:rsid w:val="00694676"/>
    <w:rsid w:val="006E1FB4"/>
    <w:rsid w:val="0074321A"/>
    <w:rsid w:val="00765209"/>
    <w:rsid w:val="007A4009"/>
    <w:rsid w:val="007D6AA0"/>
    <w:rsid w:val="00864AB0"/>
    <w:rsid w:val="008B768D"/>
    <w:rsid w:val="0092076E"/>
    <w:rsid w:val="00935DDF"/>
    <w:rsid w:val="00955796"/>
    <w:rsid w:val="009560B1"/>
    <w:rsid w:val="00961DA5"/>
    <w:rsid w:val="00964B82"/>
    <w:rsid w:val="00AC3A29"/>
    <w:rsid w:val="00B63F95"/>
    <w:rsid w:val="00B87F14"/>
    <w:rsid w:val="00B94789"/>
    <w:rsid w:val="00BB300D"/>
    <w:rsid w:val="00C401D7"/>
    <w:rsid w:val="00C67297"/>
    <w:rsid w:val="00C73749"/>
    <w:rsid w:val="00CE5E81"/>
    <w:rsid w:val="00D15922"/>
    <w:rsid w:val="00DD29EB"/>
    <w:rsid w:val="00DD60BF"/>
    <w:rsid w:val="00DF03A7"/>
    <w:rsid w:val="00E112A4"/>
    <w:rsid w:val="00E70CF7"/>
    <w:rsid w:val="00E8530D"/>
    <w:rsid w:val="00E959D0"/>
    <w:rsid w:val="00EE5D8F"/>
    <w:rsid w:val="00EF4770"/>
    <w:rsid w:val="00F15347"/>
    <w:rsid w:val="00F2799B"/>
    <w:rsid w:val="00F63F39"/>
    <w:rsid w:val="00FE623A"/>
    <w:rsid w:val="00FE6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E5ECE3"/>
  <w15:chartTrackingRefBased/>
  <w15:docId w15:val="{DDF81867-1919-B04F-8719-574B66F61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BD6"/>
    <w:pPr>
      <w:spacing w:before="0"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200" w:line="276" w:lineRule="auto"/>
      <w:outlineLvl w:val="0"/>
    </w:pPr>
    <w:rPr>
      <w:rFonts w:asciiTheme="minorHAnsi" w:eastAsiaTheme="minorHAnsi" w:hAnsiTheme="minorHAnsi" w:cstheme="minorBidi"/>
      <w:b/>
      <w:bCs/>
      <w:caps/>
      <w:color w:val="FFFFFF" w:themeColor="background1"/>
      <w:spacing w:val="15"/>
      <w:sz w:val="22"/>
      <w:szCs w:val="22"/>
      <w:lang w:val="ca-E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200" w:line="276" w:lineRule="auto"/>
      <w:outlineLvl w:val="1"/>
    </w:pPr>
    <w:rPr>
      <w:rFonts w:asciiTheme="minorHAnsi" w:eastAsiaTheme="minorHAnsi" w:hAnsiTheme="minorHAnsi" w:cstheme="minorBidi"/>
      <w:caps/>
      <w:spacing w:val="15"/>
      <w:sz w:val="22"/>
      <w:szCs w:val="22"/>
      <w:lang w:val="ca-ES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line="276" w:lineRule="auto"/>
      <w:outlineLvl w:val="2"/>
    </w:pPr>
    <w:rPr>
      <w:rFonts w:asciiTheme="minorHAnsi" w:eastAsiaTheme="minorHAnsi" w:hAnsiTheme="minorHAnsi" w:cstheme="minorBidi"/>
      <w:caps/>
      <w:color w:val="0A2F40" w:themeColor="accent1" w:themeShade="7F"/>
      <w:spacing w:val="15"/>
      <w:sz w:val="22"/>
      <w:szCs w:val="22"/>
      <w:lang w:val="ca-ES"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line="276" w:lineRule="auto"/>
      <w:outlineLvl w:val="3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line="276" w:lineRule="auto"/>
      <w:outlineLvl w:val="4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line="276" w:lineRule="auto"/>
      <w:outlineLvl w:val="5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line="276" w:lineRule="auto"/>
      <w:outlineLvl w:val="6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line="276" w:lineRule="auto"/>
      <w:outlineLvl w:val="7"/>
    </w:pPr>
    <w:rPr>
      <w:rFonts w:asciiTheme="minorHAnsi" w:eastAsiaTheme="minorHAnsi" w:hAnsiTheme="minorHAnsi" w:cstheme="minorBidi"/>
      <w:caps/>
      <w:spacing w:val="10"/>
      <w:sz w:val="18"/>
      <w:szCs w:val="18"/>
      <w:lang w:val="ca-ES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line="276" w:lineRule="auto"/>
      <w:outlineLvl w:val="8"/>
    </w:pPr>
    <w:rPr>
      <w:rFonts w:asciiTheme="minorHAnsi" w:eastAsiaTheme="minorHAnsi" w:hAnsiTheme="minorHAnsi" w:cstheme="minorBidi"/>
      <w:i/>
      <w:caps/>
      <w:spacing w:val="10"/>
      <w:sz w:val="18"/>
      <w:szCs w:val="18"/>
      <w:lang w:val="ca-E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5B2967"/>
    <w:pPr>
      <w:spacing w:before="200" w:after="200" w:line="276" w:lineRule="auto"/>
    </w:pPr>
    <w:rPr>
      <w:rFonts w:asciiTheme="minorHAnsi" w:eastAsiaTheme="minorHAnsi" w:hAnsiTheme="minorHAnsi" w:cstheme="minorBidi"/>
      <w:b/>
      <w:bCs/>
      <w:color w:val="0F4761" w:themeColor="accent1" w:themeShade="BF"/>
      <w:sz w:val="16"/>
      <w:szCs w:val="16"/>
      <w:lang w:val="ca-E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 w:after="200" w:line="276" w:lineRule="auto"/>
    </w:pPr>
    <w:rPr>
      <w:rFonts w:asciiTheme="minorHAnsi" w:eastAsiaTheme="minorHAnsi" w:hAnsiTheme="minorHAnsi" w:cstheme="minorBidi"/>
      <w:caps/>
      <w:color w:val="156082" w:themeColor="accent1"/>
      <w:spacing w:val="10"/>
      <w:kern w:val="28"/>
      <w:sz w:val="52"/>
      <w:szCs w:val="52"/>
      <w:lang w:val="ca-E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before="200" w:after="1000"/>
    </w:pPr>
    <w:rPr>
      <w:rFonts w:asciiTheme="minorHAnsi" w:eastAsiaTheme="minorHAnsi" w:hAnsiTheme="minorHAnsi" w:cstheme="minorBidi"/>
      <w:caps/>
      <w:color w:val="595959" w:themeColor="text1" w:themeTint="A6"/>
      <w:spacing w:val="10"/>
      <w:lang w:val="ca-E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Textoennegrita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rPr>
      <w:rFonts w:asciiTheme="minorHAnsi" w:eastAsiaTheme="minorHAnsi" w:hAnsiTheme="minorHAnsi" w:cstheme="minorBidi"/>
      <w:sz w:val="20"/>
      <w:szCs w:val="20"/>
      <w:lang w:val="ca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spacing w:before="200" w:after="200" w:line="276" w:lineRule="auto"/>
      <w:ind w:left="720"/>
      <w:contextualSpacing/>
    </w:pPr>
    <w:rPr>
      <w:rFonts w:asciiTheme="minorHAnsi" w:eastAsiaTheme="minorHAnsi" w:hAnsiTheme="minorHAnsi" w:cstheme="minorBidi"/>
      <w:sz w:val="20"/>
      <w:szCs w:val="20"/>
      <w:lang w:val="ca-E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5B2967"/>
    <w:pPr>
      <w:spacing w:before="200" w:after="200" w:line="276" w:lineRule="auto"/>
    </w:pPr>
    <w:rPr>
      <w:rFonts w:asciiTheme="minorHAnsi" w:eastAsiaTheme="minorHAnsi" w:hAnsiTheme="minorHAnsi" w:cstheme="minorBidi"/>
      <w:i/>
      <w:iCs/>
      <w:sz w:val="20"/>
      <w:szCs w:val="20"/>
      <w:lang w:val="ca-ES" w:eastAsia="en-US"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before="200" w:line="276" w:lineRule="auto"/>
      <w:ind w:left="1296" w:right="1152"/>
      <w:jc w:val="both"/>
    </w:pPr>
    <w:rPr>
      <w:rFonts w:asciiTheme="minorHAnsi" w:eastAsiaTheme="minorHAnsi" w:hAnsiTheme="minorHAnsi" w:cstheme="minorBidi"/>
      <w:i/>
      <w:iCs/>
      <w:color w:val="156082" w:themeColor="accent1"/>
      <w:sz w:val="20"/>
      <w:szCs w:val="20"/>
      <w:lang w:val="ca-ES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935DDF"/>
    <w:pPr>
      <w:spacing w:before="100" w:beforeAutospacing="1" w:after="100" w:afterAutospacing="1"/>
    </w:pPr>
  </w:style>
  <w:style w:type="table" w:styleId="Tablanormal3">
    <w:name w:val="Plain Table 3"/>
    <w:basedOn w:val="Tablanormal"/>
    <w:uiPriority w:val="43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F63F3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F63F3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325C4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25C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325C4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pple-converted-space">
    <w:name w:val="apple-converted-space"/>
    <w:basedOn w:val="Fuentedeprrafopredeter"/>
    <w:rsid w:val="00920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2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3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04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DCDFB8-EB27-F044-AE10-D7140E002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582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91</cp:revision>
  <cp:lastPrinted>2026-05-14T19:04:00Z</cp:lastPrinted>
  <dcterms:created xsi:type="dcterms:W3CDTF">2026-05-14T19:16:00Z</dcterms:created>
  <dcterms:modified xsi:type="dcterms:W3CDTF">2026-05-25T15:43:00Z</dcterms:modified>
</cp:coreProperties>
</file>