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Database Architecture and Keys</w:t>
      </w:r>
    </w:p>
    <w:p>
      <w:pPr>
        <w:spacing w:after="260"/>
      </w:pPr>
      <w:r>
        <w:rPr>
          <w:i/>
          <w:iCs/>
          <w:color w:val="555555"/>
          <w:sz w:val="22"/>
          <w:szCs w:val="22"/>
        </w:rPr>
        <w:t xml:space="preserve">Unit 2: Three-Schema Architecture, Data Abstraction and Keys</w:t>
      </w:r>
    </w:p>
    <w:p>
      <w:pPr>
        <w:pStyle w:val="Heading2"/>
        <w:spacing w:after="120" w:before="200"/>
      </w:pPr>
      <w:r>
        <w:rPr>
          <w:b/>
          <w:bCs/>
          <w:color w:val="1F4E79"/>
          <w:sz w:val="26"/>
          <w:szCs w:val="26"/>
        </w:rPr>
        <w:t xml:space="preserve">The Three-Schema Architecture</w:t>
      </w:r>
    </w:p>
    <w:p>
      <w:pPr>
        <w:spacing w:after="160" w:line="300"/>
        <w:jc w:val="both"/>
      </w:pPr>
      <w:r>
        <w:rPr>
          <w:sz w:val="21"/>
          <w:szCs w:val="21"/>
        </w:rPr>
        <w:t xml:space="preserve">Modern database management systems are organised according to a design principle known as the three-schema architecture, which was proposed to separate the concerns of the end user, the application developer and the storage engineer from one another. The three-schema architecture recognises three distinct levels of description for the same underlying database. The internal level, also called the physical level, describes exactly how the data is stored on disk, including the file organisation, the indexing structures and the compression techniques that are used to make storage efficient. The conceptual level, which sits above the internal level, describes what data is stored in the database and the relationships that exist among that data, without revealing the physical storage details, and it is this conceptual level that a database administrator uses when designing the overall logical structure of an institution's data. The external level, which is the level closest to the user, consists of a number of external schemas, or user views, each of which describes only the part of the database that is relevant to a particular group of users, hiding the remainder of the database for both simplicity and security.</w:t>
      </w:r>
    </w:p>
    <w:p>
      <w:pPr>
        <w:pStyle w:val="Heading2"/>
        <w:spacing w:after="120" w:before="200"/>
      </w:pPr>
      <w:r>
        <w:rPr>
          <w:b/>
          <w:bCs/>
          <w:color w:val="1F4E79"/>
          <w:sz w:val="26"/>
          <w:szCs w:val="26"/>
        </w:rPr>
        <w:t xml:space="preserve">Data Abstraction: Logical and Physical Views</w:t>
      </w:r>
    </w:p>
    <w:p>
      <w:pPr>
        <w:spacing w:after="160" w:line="300"/>
        <w:jc w:val="both"/>
      </w:pPr>
      <w:r>
        <w:rPr>
          <w:sz w:val="21"/>
          <w:szCs w:val="21"/>
        </w:rPr>
        <w:t xml:space="preserve">The three-schema architecture is the practical mechanism through which the database management system achieves the goal of data abstraction. Data abstraction refers to the hiding of unnecessary detail from a user so that only the information relevant to that user's task is exposed. Two complementary views arise from this abstraction. The logical view corresponds to the conceptual and external levels, and it presents data to the programmer or the end user in terms of entities, attributes and relationships, using a vocabulary that is close to the real-world problem being modelled. The physical view, on the other hand, corresponds to the internal level, and it describes the actual bytes, blocks, pages and access paths that the storage engine manipulates when it retrieves or writes a record. Because of this separation, a database administrator can reorganise an index, change the file format, or move data to faster storage hardware, and so long as the conceptual schema remains unchanged, none of the application programs that were written against the logical view will need to be modified, a property that is generally referred to as physical data independence.</w:t>
      </w:r>
    </w:p>
    <w:p>
      <w:pPr>
        <w:pStyle w:val="Heading2"/>
        <w:spacing w:after="120" w:before="200"/>
      </w:pPr>
      <w:r>
        <w:rPr>
          <w:b/>
          <w:bCs/>
          <w:color w:val="1F4E79"/>
          <w:sz w:val="26"/>
          <w:szCs w:val="26"/>
        </w:rPr>
        <w:t xml:space="preserve">Candidate Keys, Super Keys and Primary Keys</w:t>
      </w:r>
    </w:p>
    <w:p>
      <w:pPr>
        <w:spacing w:after="160" w:line="300"/>
        <w:jc w:val="both"/>
      </w:pPr>
      <w:r>
        <w:rPr>
          <w:sz w:val="21"/>
          <w:szCs w:val="21"/>
        </w:rPr>
        <w:t xml:space="preserve">A central part of relational database design is identifying which attribute, or combination of attributes, can be used to uniquely distinguish one row of a table from every other row. A super key is any set of one or more attributes whose values, taken together, are guaranteed to be unique across every row of the table; a table may possess many different super keys, some of which contain attributes that are not strictly necessary for uniqueness. A candidate key is a super key that is minimal, meaning that no attribute can be removed from it without destroying its ability to uniquely identify a row, and a table may have several candidate keys competing for the role of the table's principal identifier. Once the database designer selects one candidate key to serve this principal role, that chosen key is called the primary key of the table, and every other candidate key that was not selected becomes what is known as an alternate key. The primary key can never contain a null value, and it must always remain unique, because it is the primary key that other tables reference when they need to establish a relationship with this table.</w:t>
      </w:r>
    </w:p>
    <w:p>
      <w:pPr>
        <w:pStyle w:val="Heading2"/>
        <w:spacing w:after="120" w:before="200"/>
      </w:pPr>
      <w:r>
        <w:rPr>
          <w:b/>
          <w:bCs/>
          <w:color w:val="1F4E79"/>
          <w:sz w:val="26"/>
          <w:szCs w:val="26"/>
        </w:rPr>
        <w:t xml:space="preserve">Foreign Keys and Integrity Constraints</w:t>
      </w:r>
    </w:p>
    <w:p>
      <w:pPr>
        <w:spacing w:after="160" w:line="300"/>
        <w:jc w:val="both"/>
      </w:pPr>
      <w:r>
        <w:rPr>
          <w:sz w:val="21"/>
          <w:szCs w:val="21"/>
        </w:rPr>
        <w:t xml:space="preserve">A foreign key is an attribute, or a set of attributes, in one table that refers to the primary key of another table, and it is the principal mechanism through which the relational model expresses relationships between different entities, such as the relationship between a student record and the department to which that student belongs. Integrity constraints are the rules that a database management system enforces automatically in order to keep the stored data accurate and meaningful. Entity integrity is the constraint that the primary key of a table can never be null, since a missing identifier would make a row impossible to reference. Referential integrity is the constraint that every value present in a foreign-key column must either match an existing primary-key value in the referenced table or be left null, which prevents an application from creating a relationship to a record that does not exist. Domain constraints restrict the values that a given column may hold, for example by requiring that an age column contain only positive whole numbers. Together, these integrity constraints, combined with a carefully chosen set of candidate, primary and foreign keys, allow a relational database to guard itself against the kind of anomalies and inconsistencies that were common in older file-based systems.</w:t>
      </w:r>
    </w:p>
    <w:p>
      <w:pPr>
        <w:spacing w:before="200"/>
      </w:pPr>
      <w:r>
        <w:rPr>
          <w:i/>
          <w:iCs/>
          <w:color w:val="888888"/>
          <w:sz w:val="16"/>
          <w:szCs w:val="16"/>
        </w:rPr>
        <w:t xml:space="preserve">Prepared for classroom distribution as part of the Acadrium academic content repository. For internal educational use only.</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2026-09-27T11:56:33.687Z</dcterms:created>
  <dcterms:modified xsi:type="dcterms:W3CDTF">2026-09-27T11:56:33.696Z</dcterms:modified>
</cp:coreProperties>
</file>

<file path=docProps/custom.xml><?xml version="1.0" encoding="utf-8"?>
<Properties xmlns="http://schemas.openxmlformats.org/officeDocument/2006/custom-properties" xmlns:vt="http://schemas.openxmlformats.org/officeDocument/2006/docPropsVTypes"/>
</file>