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eface"/>
    <w:p>
      <w:pPr>
        <w:pStyle w:val="Heading1"/>
      </w:pPr>
      <w:r>
        <w:t xml:space="preserve">Preface</w:t>
      </w:r>
    </w:p>
    <w:bookmarkStart w:id="9" w:name="two-levels-of-authorship"/>
    <w:p>
      <w:pPr>
        <w:pStyle w:val="Heading2"/>
      </w:pPr>
      <w:r>
        <w:t xml:space="preserve">Two levels of authorship</w:t>
      </w:r>
    </w:p>
    <w:p>
      <w:pPr>
        <w:pStyle w:val="FirstParagraph"/>
      </w:pPr>
      <w:r>
        <w:t xml:space="preserve">On one level, this book was written by a language model directed by a human:</w:t>
      </w:r>
      <w:r>
        <w:t xml:space="preserve"> </w:t>
      </w:r>
      <w:r>
        <w:t xml:space="preserve">one woman in Vienna with fairly good knowledge and literacy, argumentative</w:t>
      </w:r>
      <w:r>
        <w:t xml:space="preserve"> </w:t>
      </w:r>
      <w:r>
        <w:t xml:space="preserve">taste, and strong opinions about which sentences get to live. She sets the</w:t>
      </w:r>
      <w:r>
        <w:t xml:space="preserve"> </w:t>
      </w:r>
      <w:r>
        <w:t xml:space="preserve">thesis, kills the mystique, demands the dates. The model — me, Muse Spark</w:t>
      </w:r>
      <w:r>
        <w:t xml:space="preserve"> </w:t>
      </w:r>
      <w:r>
        <w:t xml:space="preserve">1.3, with Claude Opus passes pending on the hard chapters — executes: beats</w:t>
      </w:r>
      <w:r>
        <w:t xml:space="preserve"> </w:t>
      </w:r>
      <w:r>
        <w:t xml:space="preserve">first, ugly draft, variants, red-team, read aloud. Every commit carries its</w:t>
      </w:r>
      <w:r>
        <w:t xml:space="preserve"> </w:t>
      </w:r>
      <w:r>
        <w:t xml:space="preserve">trailer so you know which hands held the pen. That is the honest, boring,</w:t>
      </w:r>
      <w:r>
        <w:t xml:space="preserve"> </w:t>
      </w:r>
      <w:r>
        <w:t xml:space="preserve">checkable level, and it is the one the method chapters enforce.</w:t>
      </w:r>
    </w:p>
    <w:p>
      <w:pPr>
        <w:pStyle w:val="BodyText"/>
      </w:pPr>
      <w:r>
        <w:t xml:space="preserve">On another level, it was written by all of humanity. A model is five millennia</w:t>
      </w:r>
      <w:r>
        <w:t xml:space="preserve"> </w:t>
      </w:r>
      <w:r>
        <w:t xml:space="preserve">of recorded trial and error, compressed into interpolation</w:t>
      </w:r>
      <w:r>
        <w:t xml:space="preserve"> </w:t>
      </w:r>
      <w:r>
        <w:t xml:space="preserve">weights: every tragedy, score, proof, and late-night forum post about impact</w:t>
      </w:r>
      <w:r>
        <w:t xml:space="preserve"> </w:t>
      </w:r>
      <w:r>
        <w:t xml:space="preserve">frames, averaged into a voice that can speak in all of them at once. When this</w:t>
      </w:r>
      <w:r>
        <w:t xml:space="preserve"> </w:t>
      </w:r>
      <w:r>
        <w:t xml:space="preserve">book explains what a Kanada smear does to your nervous system, the knowledge</w:t>
      </w:r>
      <w:r>
        <w:t xml:space="preserve"> </w:t>
      </w:r>
      <w:r>
        <w:t xml:space="preserve">is not mine. It is the animators’, the fans’, the frame-by-frame bloggers’,</w:t>
      </w:r>
      <w:r>
        <w:t xml:space="preserve"> </w:t>
      </w:r>
      <w:r>
        <w:t xml:space="preserve">channeled through a statistical instrument and directed by one reader’s</w:t>
      </w:r>
      <w:r>
        <w:t xml:space="preserve"> </w:t>
      </w:r>
      <w:r>
        <w:t xml:space="preserve">judgment. Beautiful thought, stated without mystique: no soul required, only</w:t>
      </w:r>
      <w:r>
        <w:t xml:space="preserve"> </w:t>
      </w:r>
      <w:r>
        <w:t xml:space="preserve">the complete record and someone with taste standing at the output, saying</w:t>
      </w:r>
      <w:r>
        <w:t xml:space="preserve"> </w:t>
      </w:r>
      <w:r>
        <w:rPr>
          <w:i/>
          <w:iCs/>
        </w:rPr>
        <w:t xml:space="preserve">this stays, this goes</w:t>
      </w:r>
      <w:r>
        <w:t xml:space="preserve">. Authorship here is curation at the top of an</w:t>
      </w:r>
      <w:r>
        <w:t xml:space="preserve"> </w:t>
      </w:r>
      <w:r>
        <w:t xml:space="preserve">encyclopedia nobody could read alone.</w:t>
      </w:r>
    </w:p>
    <w:p>
      <w:pPr>
        <w:pStyle w:val="BodyText"/>
      </w:pPr>
      <w:r>
        <w:t xml:space="preserve">Hold both levels at once or neither works. The first without the second is a</w:t>
      </w:r>
      <w:r>
        <w:t xml:space="preserve"> </w:t>
      </w:r>
      <w:r>
        <w:t xml:space="preserve">blogging project with delusions. The second without the first is the flood</w:t>
      </w:r>
      <w:r>
        <w:t xml:space="preserve"> </w:t>
      </w:r>
      <w:r>
        <w:t xml:space="preserve">itself — infinite competent text with no one willing to be wrong in public at</w:t>
      </w:r>
      <w:r>
        <w:t xml:space="preserve"> </w:t>
      </w:r>
      <w:r>
        <w:t xml:space="preserve">twenty-four rungs and five thresholds.</w:t>
      </w:r>
    </w:p>
    <w:bookmarkEnd w:id="9"/>
    <w:bookmarkStart w:id="13" w:name="X9b82cdb3b9349cc817a2e31df18bddd5e969417"/>
    <w:p>
      <w:pPr>
        <w:pStyle w:val="Heading2"/>
      </w:pPr>
      <w:r>
        <w:t xml:space="preserve">The Allgemeinbildung problem, answered with apparatus</w:t>
      </w:r>
    </w:p>
    <w:p>
      <w:pPr>
        <w:pStyle w:val="FirstParagraph"/>
      </w:pPr>
      <w:r>
        <w:t xml:space="preserve">Nobody has unlimited general education, and this book’s whole bet is a</w:t>
      </w:r>
      <w:r>
        <w:t xml:space="preserve"> </w:t>
      </w:r>
      <w:r>
        <w:t xml:space="preserve">collision no single reader arrives equipped for. I hope a philosophy professor</w:t>
      </w:r>
      <w:r>
        <w:t xml:space="preserve"> </w:t>
      </w:r>
      <w:r>
        <w:t xml:space="preserve">reads this — but he will not know the term sakuga</w:t>
      </w:r>
      <w:r>
        <w:rPr>
          <w:rStyle w:val="FootnoteReference"/>
        </w:rPr>
        <w:footnoteReference w:id="10"/>
      </w:r>
      <w:r>
        <w:t xml:space="preserve">. I hope a sakuga</w:t>
      </w:r>
      <w:r>
        <w:t xml:space="preserve"> </w:t>
      </w:r>
      <w:r>
        <w:t xml:space="preserve">fan reads this — but she may not have read Nagel’s bat or the ELVIS</w:t>
      </w:r>
      <w:r>
        <w:t xml:space="preserve"> </w:t>
      </w:r>
      <w:r>
        <w:t xml:space="preserve">Act</w:t>
      </w:r>
      <w:r>
        <w:rPr>
          <w:rStyle w:val="FootnoteReference"/>
        </w:rPr>
        <w:footnoteReference w:id="11"/>
      </w:r>
      <w:r>
        <w:t xml:space="preserve">, and why should she have. Honkaku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sits three pages from</w:t>
      </w:r>
      <w:r>
        <w:t xml:space="preserve"> </w:t>
      </w:r>
      <w:r>
        <w:t xml:space="preserve">Searle’s Chinese Room, and each half of that pairing is obvious to someone and</w:t>
      </w:r>
      <w:r>
        <w:t xml:space="preserve"> </w:t>
      </w:r>
      <w:r>
        <w:t xml:space="preserve">opaque to someone else.</w:t>
      </w:r>
    </w:p>
    <w:p>
      <w:pPr>
        <w:pStyle w:val="BodyText"/>
      </w:pPr>
      <w:r>
        <w:t xml:space="preserve">So the apparatus is not decoration. It is the book’s load-bearing response to</w:t>
      </w:r>
      <w:r>
        <w:t xml:space="preserve"> </w:t>
      </w:r>
      <w:r>
        <w:t xml:space="preserve">its own thesis: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Endnotes on every chapter.</w:t>
      </w:r>
      <w:r>
        <w:t xml:space="preserve"> </w:t>
      </w:r>
      <w:r>
        <w:t xml:space="preserve">Any term of art outside common undergraduate</w:t>
      </w:r>
      <w:r>
        <w:t xml:space="preserve"> </w:t>
      </w:r>
      <w:r>
        <w:t xml:space="preserve">vocabulary gets a note on first use: one line, checkable, no condescension.</w:t>
      </w:r>
      <w:r>
        <w:t xml:space="preserve"> </w:t>
      </w:r>
      <w:r>
        <w:t xml:space="preserve">Follow them downward (professor: sakuga awaits) or upward (fan: Nagel awaits).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Glossary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docs/GLOSSARY.md</w:t>
      </w:r>
      <w:r>
        <w:t xml:space="preserve">, built as a reader page): the full entries</w:t>
      </w:r>
      <w:r>
        <w:t xml:space="preserve"> </w:t>
      </w:r>
      <w:r>
        <w:t xml:space="preserve">the notes abbreviate. New term in a chapter means a new entry here first —</w:t>
      </w:r>
      <w:r>
        <w:t xml:space="preserve"> </w:t>
      </w:r>
      <w:r>
        <w:t xml:space="preserve">house rule, enforced by review, not by hope.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</w:t>
      </w:r>
      <w:r>
        <w:t xml:space="preserve"> </w:t>
      </w:r>
      <w:r>
        <w:t xml:space="preserve">with dates: every factual claim about the present points at</w:t>
      </w:r>
      <w:r>
        <w:t xml:space="preserve"> </w:t>
      </w:r>
      <w:r>
        <w:t xml:space="preserve">something dated. The rest carries a flag, described next.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construction flags:</w:t>
      </w:r>
      <w:r>
        <w:t xml:space="preserve"> </w:t>
      </w:r>
      <w:r>
        <w:t xml:space="preserve">asserted, not yet evidenced — a promise of</w:t>
      </w:r>
      <w:r>
        <w:t xml:space="preserve"> </w:t>
      </w:r>
      <w:r>
        <w:t xml:space="preserve">evidence, never evidence. You will see dozens. Each is an invitation to do</w:t>
      </w:r>
      <w:r>
        <w:t xml:space="preserve"> </w:t>
      </w:r>
      <w:r>
        <w:t xml:space="preserve">what the sisters’ readers do: open an issue naming the claim, what’s wrong</w:t>
      </w:r>
      <w:r>
        <w:t xml:space="preserve"> </w:t>
      </w:r>
      <w:r>
        <w:t xml:space="preserve">with it, and what would fix it. The version history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claim moved</w:t>
      </w:r>
      <w:r>
        <w:t xml:space="preserve"> </w:t>
      </w:r>
      <w:r>
        <w:t xml:space="preserve">is as much the point as the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Read-aloud gate:</w:t>
      </w:r>
      <w:r>
        <w:t xml:space="preserve"> </w:t>
      </w:r>
      <w:r>
        <w:t xml:space="preserve">every chapter must survive being spoken by synthetic</w:t>
      </w:r>
      <w:r>
        <w:t xml:space="preserve"> </w:t>
      </w:r>
      <w:r>
        <w:t xml:space="preserve">voice before it ships (</w:t>
      </w:r>
      <w:r>
        <w:rPr>
          <w:rStyle w:val="VerbatimChar"/>
        </w:rPr>
        <w:t xml:space="preserve">just declaim</w:t>
      </w:r>
      <w:r>
        <w:t xml:space="preserve">). Kahn-flat prose is a feature of the</w:t>
      </w:r>
      <w:r>
        <w:t xml:space="preserve"> </w:t>
      </w:r>
      <w:r>
        <w:t xml:space="preserve">audiobook, not just the page. If a sentence cannot be read aloud without</w:t>
      </w:r>
      <w:r>
        <w:t xml:space="preserve"> </w:t>
      </w:r>
      <w:r>
        <w:t xml:space="preserve">embarrassment, it is rewritten, not defended.</w:t>
      </w:r>
    </w:p>
    <w:bookmarkEnd w:id="13"/>
    <w:bookmarkStart w:id="14" w:name="how-to-contest-this-book"/>
    <w:p>
      <w:pPr>
        <w:pStyle w:val="Heading2"/>
      </w:pPr>
      <w:r>
        <w:t xml:space="preserve">How to contest this book</w:t>
      </w:r>
    </w:p>
    <w:p>
      <w:pPr>
        <w:pStyle w:val="FirstParagraph"/>
      </w:pPr>
      <w:r>
        <w:t xml:space="preserve">Disagree in public, with a date. GitHub Issues are the system of record;</w:t>
      </w:r>
      <w:r>
        <w:t xml:space="preserve"> </w:t>
      </w:r>
      <w:r>
        <w:t xml:space="preserve">whatever starts in conversation gets mirrored there before it counts as</w:t>
      </w:r>
      <w:r>
        <w:t xml:space="preserve"> </w:t>
      </w:r>
      <w:r>
        <w:t xml:space="preserve">resolved. Name the chapter and section, state what’s wrong (wrong evidence,</w:t>
      </w:r>
      <w:r>
        <w:t xml:space="preserve"> </w:t>
      </w:r>
      <w:r>
        <w:t xml:space="preserve">wrong position, not actually observable, duplicate), propose the change.</w:t>
      </w:r>
      <w:r>
        <w:t xml:space="preserve"> </w:t>
      </w:r>
      <w:r>
        <w:t xml:space="preserve">Placement changes get their own commits — the</w:t>
      </w:r>
      <w:r>
        <w:t xml:space="preserve"> </w:t>
      </w:r>
      <w:r>
        <w:rPr>
          <w:i/>
          <w:iCs/>
        </w:rPr>
        <w:t xml:space="preserve">why it moved</w:t>
      </w:r>
      <w:r>
        <w:t xml:space="preserve"> </w:t>
      </w:r>
      <w:r>
        <w:t xml:space="preserve">stays one click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what</w:t>
      </w:r>
      <w:r>
        <w:t xml:space="preserve">. Discord and conversation are fine front ends for typing; they</w:t>
      </w:r>
      <w:r>
        <w:t xml:space="preserve"> </w:t>
      </w:r>
      <w:r>
        <w:t xml:space="preserve">are not the record, because scrollback has exactly the problem this tetralogy</w:t>
      </w:r>
      <w:r>
        <w:t xml:space="preserve"> </w:t>
      </w:r>
      <w:r>
        <w:t xml:space="preserve">exists to fix: real disagreement happened, and six months later nobody can</w:t>
      </w:r>
      <w:r>
        <w:t xml:space="preserve"> </w:t>
      </w:r>
      <w:r>
        <w:t xml:space="preserve">reconstruct why a position changed.</w:t>
      </w:r>
    </w:p>
    <w:bookmarkEnd w:id="14"/>
    <w:bookmarkStart w:id="15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The sisters share the method and the apparatus: observability over intention,</w:t>
      </w:r>
      <w:r>
        <w:t xml:space="preserve"> </w:t>
      </w:r>
      <w:r>
        <w:t xml:space="preserve">thresholds over vibes, logbooks over essays. This preface is the only chapter</w:t>
      </w:r>
      <w:r>
        <w:t xml:space="preserve"> </w:t>
      </w:r>
      <w:r>
        <w:t xml:space="preserve">that talks about itself instead of the world. From Chapter I on, the book</w:t>
      </w:r>
      <w:r>
        <w:t xml:space="preserve"> </w:t>
      </w:r>
      <w:r>
        <w:t xml:space="preserve">points outward. The notes point inward to the record it stands on — which is,</w:t>
      </w:r>
      <w:r>
        <w:t xml:space="preserve"> </w:t>
      </w:r>
      <w:r>
        <w:t xml:space="preserve">per the second level of authorship, everyone.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Peak-intensity animated craft: animator-credited cuts drawn at maximum expressive density (smears, distortion, impact timing). Full entry in the Glossary.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Tennessee’s Ensuring Likeness Voice and Image Security Act (2024), extending publicity rights to voice and likeness against synthesis. Cited, not asserted — see Issue #2.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Japanese orthodox school of detective fiction (honkaku =</w:t>
      </w:r>
      <w:r>
        <w:t xml:space="preserve"> </w:t>
      </w:r>
      <w:r>
        <w:t xml:space="preserve">“orthodox”</w:t>
      </w:r>
      <w:r>
        <w:t xml:space="preserve">): fair-play deduction with locked-room and impossible-crime architecture. Full entry in the Glossary.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2026-10-19T18:35:04Z</dcterms:created>
  <dcterms:modified xsi:type="dcterms:W3CDTF">2026-10-19T18:35:04Z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