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i.-what-the-futurists-got-wrong"/>
    <w:p>
      <w:pPr>
        <w:pStyle w:val="Heading1"/>
      </w:pPr>
      <w:r>
        <w:t xml:space="preserve">II. What the Futurists Got Wrong</w:t>
      </w:r>
    </w:p>
    <w:bookmarkStart w:id="9" w:name="the-physical-promise-dated"/>
    <w:p>
      <w:pPr>
        <w:pStyle w:val="Heading2"/>
      </w:pPr>
      <w:r>
        <w:t xml:space="preserve">The physical promise, dated</w:t>
      </w:r>
    </w:p>
    <w:p>
      <w:pPr>
        <w:pStyle w:val="FirstParagraph"/>
      </w:pPr>
      <w:r>
        <w:t xml:space="preserve">The consensus bet, twice, from opposite sides: physics first, pathos last.</w:t>
      </w:r>
      <w:r>
        <w:t xml:space="preserve"> </w:t>
      </w:r>
      <w:r>
        <w:t xml:space="preserve">Asimov’s robot stories (1940–1955) were not, at bottom, about interiority;</w:t>
      </w:r>
      <w:r>
        <w:t xml:space="preserve"> </w:t>
      </w:r>
      <w:r>
        <w:t xml:space="preserve">they were about machine government. His subject was what Lepore calls the</w:t>
      </w:r>
      <w:r>
        <w:t xml:space="preserve"> </w:t>
      </w:r>
      <w:r>
        <w:t xml:space="preserve">Artificial State — the robot mayor of</w:t>
      </w:r>
      <w:r>
        <w:t xml:space="preserve"> </w:t>
      </w:r>
      <w:r>
        <w:t xml:space="preserve">“Evidence”</w:t>
      </w:r>
      <w:r>
        <w:t xml:space="preserve"> </w:t>
      </w:r>
      <w:r>
        <w:t xml:space="preserve">(1946), the machine that</w:t>
      </w:r>
      <w:r>
        <w:t xml:space="preserve"> </w:t>
      </w:r>
      <w:r>
        <w:t xml:space="preserve">elects the president in</w:t>
      </w:r>
      <w:r>
        <w:t xml:space="preserve"> </w:t>
      </w:r>
      <w:r>
        <w:t xml:space="preserve">“Franchise”</w:t>
      </w:r>
      <w:r>
        <w:t xml:space="preserve"> </w:t>
      </w:r>
      <w:r>
        <w:t xml:space="preserve">(1955) — and his warnings were read by</w:t>
      </w:r>
      <w:r>
        <w:t xml:space="preserve"> </w:t>
      </w:r>
      <w:r>
        <w:t xml:space="preserve">the industry as instruction manuals (Lepore 2026, ch. 11–12</w:t>
      </w:r>
      <w:r>
        <w:t xml:space="preserve"> </w:t>
      </w:r>
      <w:r>
        <w:t xml:space="preserve">). The interiority test is a</w:t>
      </w:r>
      <w:r>
        <w:t xml:space="preserve"> </w:t>
      </w:r>
      <w:r>
        <w:t xml:space="preserve">different quarantine, and its pop specimen is Data in</w:t>
      </w:r>
      <w:r>
        <w:t xml:space="preserve"> </w:t>
      </w:r>
      <w:r>
        <w:t xml:space="preserve">“The Ensigns of</w:t>
      </w:r>
      <w:r>
        <w:t xml:space="preserve"> </w:t>
      </w:r>
      <w:r>
        <w:t xml:space="preserve">Command”</w:t>
      </w:r>
      <w:r>
        <w:t xml:space="preserve"> </w:t>
      </w:r>
      <w:r>
        <w:t xml:space="preserve">(</w:t>
      </w:r>
      <w:r>
        <w:rPr>
          <w:i/>
          <w:iCs/>
        </w:rPr>
        <w:t xml:space="preserve">Star Trek: The Next Generation</w:t>
      </w:r>
      <w:r>
        <w:t xml:space="preserve"> </w:t>
      </w:r>
      <w:r>
        <w:t xml:space="preserve">S3, 1989): precision offered as</w:t>
      </w:r>
      <w:r>
        <w:t xml:space="preserve"> </w:t>
      </w:r>
      <w:r>
        <w:t xml:space="preserve">proof of missing interior, art as the tell.</w:t>
      </w:r>
    </w:p>
    <w:p>
      <w:pPr>
        <w:pStyle w:val="BodyText"/>
      </w:pPr>
      <w:r>
        <w:t xml:space="preserve">1986: Gibson publishes</w:t>
      </w:r>
      <w:r>
        <w:t xml:space="preserve"> </w:t>
      </w:r>
      <w:r>
        <w:rPr>
          <w:i/>
          <w:iCs/>
        </w:rPr>
        <w:t xml:space="preserve">Count Zero</w:t>
      </w:r>
      <w:r>
        <w:t xml:space="preserve">. The orbital box-maker assembling</w:t>
      </w:r>
      <w:r>
        <w:t xml:space="preserve"> </w:t>
      </w:r>
      <w:r>
        <w:t xml:space="preserve">collages from debris is usually read as quarantine (folk art in exile,</w:t>
      </w:r>
      <w:r>
        <w:t xml:space="preserve"> </w:t>
      </w:r>
      <w:r>
        <w:t xml:space="preserve">studios still human). That is the wrong close-reading. The box-maker is</w:t>
      </w:r>
      <w:r>
        <w:t xml:space="preserve"> </w:t>
      </w:r>
      <w:r>
        <w:t xml:space="preserve">anticipation: a machine already doing aesthetic work at the margin while</w:t>
      </w:r>
      <w:r>
        <w:t xml:space="preserve"> </w:t>
      </w:r>
      <w:r>
        <w:t xml:space="preserve">humans keep the labels. The consensus missed it. The outlier did not.</w:t>
      </w:r>
    </w:p>
    <w:p>
      <w:pPr>
        <w:pStyle w:val="BodyText"/>
      </w:pPr>
      <w:r>
        <w:t xml:space="preserve">2005: Kurzweil,</w:t>
      </w:r>
      <w:r>
        <w:t xml:space="preserve"> </w:t>
      </w:r>
      <w:r>
        <w:rPr>
          <w:i/>
          <w:iCs/>
        </w:rPr>
        <w:t xml:space="preserve">The Singularity Is Near</w:t>
      </w:r>
      <w:r>
        <w:t xml:space="preserve">, still sells nanotech and</w:t>
      </w:r>
      <w:r>
        <w:t xml:space="preserve"> </w:t>
      </w:r>
      <w:r>
        <w:t xml:space="preserve">uploads as the main act. He is also the outlier who had already built</w:t>
      </w:r>
      <w:r>
        <w:t xml:space="preserve"> </w:t>
      </w:r>
      <w:r>
        <w:t xml:space="preserve">toward music and language: K250 (1984), Cybernetic Poet,</w:t>
      </w:r>
      <w:r>
        <w:t xml:space="preserve"> </w:t>
      </w:r>
      <w:r>
        <w:rPr>
          <w:i/>
          <w:iCs/>
        </w:rPr>
        <w:t xml:space="preserve">The Age of</w:t>
      </w:r>
      <w:r>
        <w:rPr>
          <w:i/>
          <w:iCs/>
        </w:rPr>
        <w:t xml:space="preserve"> </w:t>
      </w:r>
      <w:r>
        <w:rPr>
          <w:i/>
          <w:iCs/>
        </w:rPr>
        <w:t xml:space="preserve">Spiritual Machines</w:t>
      </w:r>
      <w:r>
        <w:t xml:space="preserve"> </w:t>
      </w:r>
      <w:r>
        <w:t xml:space="preserve">(1999).</w:t>
      </w:r>
      <w:r>
        <w:t xml:space="preserve"> </w:t>
      </w:r>
      <w:r>
        <w:rPr>
          <w:rStyle w:val="VerbatimChar"/>
        </w:rPr>
        <w:t xml:space="preserve">[memory — verify: citations before v0.2]</w:t>
      </w:r>
      <w:r>
        <w:t xml:space="preserve"> </w:t>
      </w:r>
      <w:r>
        <w:t xml:space="preserve">Art was not</w:t>
      </w:r>
      <w:r>
        <w:t xml:space="preserve"> </w:t>
      </w:r>
      <w:r>
        <w:t xml:space="preserve">“assumed safe”</w:t>
      </w:r>
      <w:r>
        <w:t xml:space="preserve"> </w:t>
      </w:r>
      <w:r>
        <w:t xml:space="preserve">in his whole corpus. It was assumed safe 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consensus reading</w:t>
      </w:r>
      <w:r>
        <w:t xml:space="preserve"> </w:t>
      </w:r>
      <w:r>
        <w:t xml:space="preserve">of the singularity literature. Those are different</w:t>
      </w:r>
      <w:r>
        <w:t xml:space="preserve"> </w:t>
      </w:r>
      <w:r>
        <w:t xml:space="preserve">facts.</w:t>
      </w:r>
    </w:p>
    <w:p>
      <w:pPr>
        <w:pStyle w:val="BodyText"/>
      </w:pPr>
      <w:r>
        <w:t xml:space="preserve">2014: Bostrom,</w:t>
      </w:r>
      <w:r>
        <w:t xml:space="preserve"> </w:t>
      </w:r>
      <w:r>
        <w:rPr>
          <w:i/>
          <w:iCs/>
        </w:rPr>
        <w:t xml:space="preserve">Superintelligence</w:t>
      </w:r>
      <w:r>
        <w:t xml:space="preserve">. The optimizer wants computronium, not</w:t>
      </w:r>
      <w:r>
        <w:t xml:space="preserve"> </w:t>
      </w:r>
      <w:r>
        <w:t xml:space="preserve">catharsis. Aesthetics as camouflage at best. Cold, utilitarian, bored by</w:t>
      </w:r>
      <w:r>
        <w:t xml:space="preserve"> </w:t>
      </w:r>
      <w:r>
        <w:t xml:space="preserve">beauty. The catastrophists and the consensus evangelists shared the order:</w:t>
      </w:r>
      <w:r>
        <w:t xml:space="preserve"> </w:t>
      </w:r>
      <w:r>
        <w:t xml:space="preserve">matter, then dessert.</w:t>
      </w:r>
    </w:p>
    <w:p>
      <w:pPr>
        <w:pStyle w:val="BodyText"/>
      </w:pPr>
      <w:r>
        <w:t xml:space="preserve">The outliers saw the inversion. The consensus and the catastrophists did</w:t>
      </w:r>
      <w:r>
        <w:t xml:space="preserve"> </w:t>
      </w:r>
      <w:r>
        <w:t xml:space="preserve">not. Why the outliers failed to move the consensus is the remaining</w:t>
      </w:r>
      <w:r>
        <w:t xml:space="preserve"> </w:t>
      </w:r>
      <w:r>
        <w:t xml:space="preserve">question, not whether Gibson was lonely on purpose.</w:t>
      </w:r>
    </w:p>
    <w:p>
      <w:pPr>
        <w:pStyle w:val="BodyText"/>
      </w:pPr>
      <w:r>
        <w:t xml:space="preserve">They were wrong about the order because they mistook friction. Atoms</w:t>
      </w:r>
      <w:r>
        <w:t xml:space="preserve"> </w:t>
      </w:r>
      <w:r>
        <w:t xml:space="preserve">unionize, rust, and require permits. Souls publish loss functions.</w:t>
      </w:r>
    </w:p>
    <w:bookmarkEnd w:id="9"/>
    <w:bookmarkStart w:id="10" w:name="why-pathos-looked-unassailable"/>
    <w:p>
      <w:pPr>
        <w:pStyle w:val="Heading2"/>
      </w:pPr>
      <w:r>
        <w:t xml:space="preserve">Why pathos looked unassailable</w:t>
      </w:r>
    </w:p>
    <w:p>
      <w:pPr>
        <w:pStyle w:val="FirstParagraph"/>
      </w:pPr>
      <w:r>
        <w:t xml:space="preserve">The citadel argument had three walls, each respectable in its decade:</w:t>
      </w:r>
    </w:p>
    <w:p>
      <w:pPr>
        <w:pStyle w:val="BodyText"/>
      </w:pPr>
      <w:r>
        <w:t xml:space="preserve">First, Bergson’s elan vital and its pop descendants: creation requires a vital</w:t>
      </w:r>
      <w:r>
        <w:t xml:space="preserve"> </w:t>
      </w:r>
      <w:r>
        <w:t xml:space="preserve">spark, machines have gears. Refuted by every player piano, then re-filed as</w:t>
      </w:r>
      <w:r>
        <w:t xml:space="preserve"> </w:t>
      </w:r>
      <w:r>
        <w:t xml:space="preserve">“real”</w:t>
      </w:r>
      <w:r>
        <w:t xml:space="preserve"> </w:t>
      </w:r>
      <w:r>
        <w:t xml:space="preserve">creativity versus recombination — a distinction Homer would have failed,</w:t>
      </w:r>
      <w:r>
        <w:t xml:space="preserve"> </w:t>
      </w:r>
      <w:r>
        <w:t xml:space="preserve">since the Iliad is recombination with better meter.</w:t>
      </w:r>
    </w:p>
    <w:p>
      <w:pPr>
        <w:pStyle w:val="BodyText"/>
      </w:pPr>
      <w:r>
        <w:t xml:space="preserve">Second, Nagel (1974,</w:t>
      </w:r>
      <w:r>
        <w:t xml:space="preserve"> </w:t>
      </w:r>
      <w:r>
        <w:t xml:space="preserve">“What is it like to be a bat?”</w:t>
      </w:r>
      <w:r>
        <w:t xml:space="preserve">) and Searle (1980, Chinese</w:t>
      </w:r>
      <w:r>
        <w:t xml:space="preserve"> </w:t>
      </w:r>
      <w:r>
        <w:t xml:space="preserve">Room): subjective texture cannot be derived from syntax. True, and irrelevant</w:t>
      </w:r>
      <w:r>
        <w:t xml:space="preserve"> </w:t>
      </w:r>
      <w:r>
        <w:t xml:space="preserve">to the transmission question. The audience’s bat-experience is triggered by</w:t>
      </w:r>
      <w:r>
        <w:t xml:space="preserve"> </w:t>
      </w:r>
      <w:r>
        <w:t xml:space="preserve">structure whether or not the transmitter has one. A lullaby works on an infant</w:t>
      </w:r>
      <w:r>
        <w:t xml:space="preserve"> </w:t>
      </w:r>
      <w:r>
        <w:t xml:space="preserve">who has no theory of the singer’s interiority.</w:t>
      </w:r>
    </w:p>
    <w:p>
      <w:pPr>
        <w:pStyle w:val="BodyText"/>
      </w:pPr>
      <w:r>
        <w:t xml:space="preserve">Third, mortal-friction romanticism: suffering authenticates. The seiyuu who</w:t>
      </w:r>
      <w:r>
        <w:t xml:space="preserve"> </w:t>
      </w:r>
      <w:r>
        <w:t xml:space="preserve">hemorrhages a fold earning the scream (Issue #3), the animator who sleeps under</w:t>
      </w:r>
      <w:r>
        <w:t xml:space="preserve"> </w:t>
      </w:r>
      <w:r>
        <w:t xml:space="preserve">the desk earning the smear. This wall was load-bearing until synthesis removed</w:t>
      </w:r>
      <w:r>
        <w:t xml:space="preserve"> </w:t>
      </w:r>
      <w:r>
        <w:t xml:space="preserve">the toll booth. Once the toll is optional,</w:t>
      </w:r>
      <w:r>
        <w:t xml:space="preserve"> </w:t>
      </w:r>
      <w:r>
        <w:t xml:space="preserve">“earned”</w:t>
      </w:r>
      <w:r>
        <w:t xml:space="preserve"> </w:t>
      </w:r>
      <w:r>
        <w:t xml:space="preserve">becomes a provenance label,</w:t>
      </w:r>
      <w:r>
        <w:t xml:space="preserve"> </w:t>
      </w:r>
      <w:r>
        <w:t xml:space="preserve">not a quality bound. Provenance labels are enforceable only by institutions —</w:t>
      </w:r>
      <w:r>
        <w:t xml:space="preserve"> </w:t>
      </w:r>
      <w:r>
        <w:t xml:space="preserve">which is Chapter VI’s problem, not Chapter II’s.</w:t>
      </w:r>
    </w:p>
    <w:bookmarkEnd w:id="10"/>
    <w:bookmarkStart w:id="11" w:name="the-symptom-close-read"/>
    <w:p>
      <w:pPr>
        <w:pStyle w:val="Heading2"/>
      </w:pPr>
      <w:r>
        <w:t xml:space="preserve">The symptom close-read</w:t>
      </w:r>
    </w:p>
    <w:p>
      <w:pPr>
        <w:pStyle w:val="FirstParagraph"/>
      </w:pPr>
      <w:r>
        <w:t xml:space="preserve">The quarantine design (Data as tell; the box-maker misread as exile) protects</w:t>
      </w:r>
      <w:r>
        <w:t xml:space="preserve"> </w:t>
      </w:r>
      <w:r>
        <w:t xml:space="preserve">the citadel by imagining machines that respect it. What shipped instead</w:t>
      </w:r>
      <w:r>
        <w:t xml:space="preserve"> </w:t>
      </w:r>
      <w:r>
        <w:t xml:space="preserve">respects nothing. No loneliness, no yearning, no wind-up limitation — just</w:t>
      </w:r>
      <w:r>
        <w:t xml:space="preserve"> </w:t>
      </w:r>
      <w:r>
        <w:t xml:space="preserve">interpolation across the entire published keymap at a density no biological</w:t>
      </w:r>
      <w:r>
        <w:t xml:space="preserve"> </w:t>
      </w:r>
      <w:r>
        <w:t xml:space="preserve">career can match. The quarantine was a literary choice, not a technical</w:t>
      </w:r>
      <w:r>
        <w:t xml:space="preserve"> </w:t>
      </w:r>
      <w:r>
        <w:t xml:space="preserve">forecast. The outliers who refused the quarantine did not move the</w:t>
      </w:r>
      <w:r>
        <w:t xml:space="preserve"> </w:t>
      </w:r>
      <w:r>
        <w:t xml:space="preserve">institutions that still quote it.</w:t>
      </w:r>
    </w:p>
    <w:bookmarkEnd w:id="11"/>
    <w:bookmarkStart w:id="12" w:name="X20e376bb6310c8655c2ad53596d0f00504fccaf"/>
    <w:p>
      <w:pPr>
        <w:pStyle w:val="Heading2"/>
      </w:pPr>
      <w:r>
        <w:t xml:space="preserve">The corpus cannot tell a warning from a recipe</w:t>
      </w:r>
    </w:p>
    <w:p>
      <w:pPr>
        <w:pStyle w:val="FirstParagraph"/>
      </w:pPr>
      <w:r>
        <w:t xml:space="preserve">A model trained on the whole archive ingests the warnings with the blueprints</w:t>
      </w:r>
      <w:r>
        <w:t xml:space="preserve"> </w:t>
      </w:r>
      <w:r>
        <w:t xml:space="preserve">and the satires with the sales pitches. Lepore’s sharpest observation is that</w:t>
      </w:r>
      <w:r>
        <w:t xml:space="preserve"> </w:t>
      </w:r>
      <w:r>
        <w:t xml:space="preserve">the industry read cautionary tales — Asimov’s robot presidents, Adams’s spoof</w:t>
      </w:r>
      <w:r>
        <w:t xml:space="preserve"> </w:t>
      </w:r>
      <w:r>
        <w:t xml:space="preserve">of the Foundation — as instruction manuals (Lepore 2026, ch. 12). The machine</w:t>
      </w:r>
      <w:r>
        <w:t xml:space="preserve"> </w:t>
      </w:r>
      <w:r>
        <w:t xml:space="preserve">does the same thing for the same reason: the training objective does not</w:t>
      </w:r>
      <w:r>
        <w:t xml:space="preserve"> </w:t>
      </w:r>
      <w:r>
        <w:t xml:space="preserve">weight a warning above the thing it warns against. Both are text; the loss</w:t>
      </w:r>
      <w:r>
        <w:t xml:space="preserve"> </w:t>
      </w:r>
      <w:r>
        <w:t xml:space="preserve">function has no column for</w:t>
      </w:r>
      <w:r>
        <w:t xml:space="preserve"> </w:t>
      </w:r>
      <w:r>
        <w:rPr>
          <w:i/>
          <w:iCs/>
        </w:rPr>
        <w:t xml:space="preserve">against</w:t>
      </w:r>
      <w:r>
        <w:t xml:space="preserve">.</w:t>
      </w:r>
    </w:p>
    <w:p>
      <w:pPr>
        <w:pStyle w:val="BodyText"/>
      </w:pPr>
      <w:r>
        <w:t xml:space="preserve">This is why the quarantine designs failed, and it is the least comfortable</w:t>
      </w:r>
      <w:r>
        <w:t xml:space="preserve"> </w:t>
      </w:r>
      <w:r>
        <w:t xml:space="preserve">form of Chapter III’s argument. It is also why aesthetic critique does not</w:t>
      </w:r>
      <w:r>
        <w:t xml:space="preserve"> </w:t>
      </w:r>
      <w:r>
        <w:t xml:space="preserve">survive into the next corpus: a century of writing against spectacle is a</w:t>
      </w:r>
      <w:r>
        <w:t xml:space="preserve"> </w:t>
      </w:r>
      <w:r>
        <w:t xml:space="preserve">century of training data for spectacle. The archive cannot be irony-aware on</w:t>
      </w:r>
      <w:r>
        <w:t xml:space="preserve"> </w:t>
      </w:r>
      <w:r>
        <w:t xml:space="preserve">the model’s behalf. Only a reader can, and the reader is the part the machine</w:t>
      </w:r>
      <w:r>
        <w:t xml:space="preserve"> </w:t>
      </w:r>
      <w:r>
        <w:t xml:space="preserve">does not include. (The Lepore counter-thesis side takes the objection further:</w:t>
      </w:r>
      <w:r>
        <w:t xml:space="preserve"> </w:t>
      </w:r>
      <w:r>
        <w:t xml:space="preserve">a world made entirely by machines is a hall of mirrors, and that is the</w:t>
      </w:r>
      <w:r>
        <w:t xml:space="preserve"> </w:t>
      </w:r>
      <w:r>
        <w:t xml:space="preserve">hardest thing this book has to answer.)</w:t>
      </w:r>
    </w:p>
    <w:bookmarkEnd w:id="12"/>
    <w:bookmarkStart w:id="13" w:name="the-falsifier"/>
    <w:p>
      <w:pPr>
        <w:pStyle w:val="Heading2"/>
      </w:pPr>
      <w:r>
        <w:t xml:space="preserve">The falsifier</w:t>
      </w:r>
    </w:p>
    <w:p>
      <w:pPr>
        <w:pStyle w:val="BlockText"/>
      </w:pPr>
      <w:r>
        <w:rPr>
          <w:b/>
          <w:bCs/>
        </w:rPr>
        <w:t xml:space="preserve">Checkable by 2030.</w:t>
      </w:r>
      <w:r>
        <w:t xml:space="preserve"> </w:t>
      </w:r>
      <w:r>
        <w:t xml:space="preserve">If the Ch V logbook shows zero A’–E’ crossings while a dated physical-domain breakthrough of comparable scale ships — commercial fusion power to the grid, or seven-figure humanoid deployment with dates — the ordering claim in this chapter fails. The inversion thesis is about</w:t>
      </w:r>
      <w:r>
        <w:t xml:space="preserve"> </w:t>
      </w:r>
      <w:r>
        <w:rPr>
          <w:i/>
          <w:iCs/>
        </w:rPr>
        <w:t xml:space="preserve">order</w:t>
      </w:r>
      <w:r>
        <w:t xml:space="preserve">, so it must name what would refute it. This is that sentence, dated 2026-10-11 and entered in the logbook’s discipline.</w:t>
      </w:r>
    </w:p>
    <w:bookmarkEnd w:id="13"/>
    <w:bookmarkStart w:id="14" w:name="fleet-link"/>
    <w:p>
      <w:pPr>
        <w:pStyle w:val="Heading2"/>
      </w:pPr>
      <w:r>
        <w:t xml:space="preserve">Fleet link</w:t>
      </w:r>
    </w:p>
    <w:p>
      <w:pPr>
        <w:pStyle w:val="FirstParagraph"/>
      </w:pPr>
      <w:r>
        <w:t xml:space="preserve">Pre-Kahn nuclear discourse refused intermediate rungs: deterrence holds or</w:t>
      </w:r>
      <w:r>
        <w:t xml:space="preserve"> </w:t>
      </w:r>
      <w:r>
        <w:t xml:space="preserve">everyone dies. Pre-ladder AI discourse refused them too: aligned or extinct.</w:t>
      </w:r>
      <w:r>
        <w:t xml:space="preserve"> </w:t>
      </w:r>
      <w:r>
        <w:t xml:space="preserve">Pre-collapse art discourse refuses them now: human soul or slop. The ladder</w:t>
      </w:r>
      <w:r>
        <w:t xml:space="preserve"> </w:t>
      </w:r>
      <w:r>
        <w:t xml:space="preserve">method is the same refusal to accept the binary — forty-four rungs there,</w:t>
      </w:r>
      <w:r>
        <w:t xml:space="preserve"> </w:t>
      </w:r>
      <w:r>
        <w:t xml:space="preserve">six Bands and twenty-four rungs here (Ch IV), each dateable, each contestable.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2026-10-19T18:35:05Z</dcterms:created>
  <dcterms:modified xsi:type="dcterms:W3CDTF">2026-10-19T18:35:05Z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