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v.-locating-the-present"/>
    <w:p>
      <w:pPr>
        <w:pStyle w:val="Heading1"/>
      </w:pPr>
      <w:r>
        <w:t xml:space="preserve">V. Locating the Present</w:t>
      </w:r>
    </w:p>
    <w:bookmarkStart w:id="9" w:name="read-this-chapter-with-a-pencil"/>
    <w:p>
      <w:pPr>
        <w:pStyle w:val="Heading2"/>
      </w:pPr>
      <w:r>
        <w:t xml:space="preserve">Read this chapter with a pencil</w:t>
      </w:r>
    </w:p>
    <w:p>
      <w:pPr>
        <w:pStyle w:val="FirstParagraph"/>
      </w:pPr>
      <w:r>
        <w:t xml:space="preserve">Everything else in this book is structure. This chapter is weather. It rots</w:t>
      </w:r>
      <w:r>
        <w:t xml:space="preserve"> </w:t>
      </w:r>
      <w:r>
        <w:t xml:space="preserve">fast and must be re-dated on every edit, or it becomes the kind of prophecy</w:t>
      </w:r>
      <w:r>
        <w:t xml:space="preserve"> </w:t>
      </w:r>
      <w:r>
        <w:t xml:space="preserve">this tetralogy exists to kill. The rule from the sisters holds: a rung with a</w:t>
      </w:r>
      <w:r>
        <w:t xml:space="preserve"> </w:t>
      </w:r>
      <w:r>
        <w:t xml:space="preserve">date is an instrument; a rung with a vibe is a mood. Moods do not attach brakes.</w:t>
      </w:r>
    </w:p>
    <w:p>
      <w:pPr>
        <w:pStyle w:val="BodyText"/>
      </w:pPr>
      <w:r>
        <w:t xml:space="preserve">Where we stand, to the best of public evidence, October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2405"/>
        <w:gridCol w:w="1203"/>
        <w:gridCol w:w="42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1988-07</w:t>
            </w:r>
          </w:p>
        </w:tc>
        <w:tc>
          <w:tcPr/>
          <w:p>
            <w:pPr>
              <w:pStyle w:val="Compact"/>
            </w:pPr>
            <w:r>
              <w:t xml:space="preserve">Akira ships, 2,212 shots, ~160,000 cels</w:t>
            </w:r>
          </w:p>
        </w:tc>
        <w:tc>
          <w:tcPr/>
          <w:p>
            <w:pPr>
              <w:pStyle w:val="Compact"/>
            </w:pPr>
            <w:r>
              <w:t xml:space="preserve">pre-stack baseline</w:t>
            </w:r>
          </w:p>
        </w:tc>
        <w:tc>
          <w:tcPr/>
          <w:p>
            <w:pPr>
              <w:pStyle w:val="Compact"/>
            </w:pPr>
            <w:r>
              <w:t xml:space="preserve">peak hand-drawn intensity priced as industrial suicide; the ceiling the stack later removes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1994</w:t>
            </w:r>
          </w:p>
        </w:tc>
        <w:tc>
          <w:tcPr/>
          <w:p>
            <w:pPr>
              <w:pStyle w:val="Compact"/>
            </w:pPr>
            <w:r>
              <w:t xml:space="preserve">Farinelli (film) ships; IRCAM merged countertenor Derek Lee Ragin + soprano Ewa Malas-Godlewska, recorded separately</w:t>
            </w:r>
            <w:r>
              <w:t xml:space="preserve"> </w:t>
            </w:r>
            <w:r>
              <w:rPr>
                <w:rStyle w:val="VerbatimChar"/>
              </w:rPr>
              <w:t xml:space="preserve">[web-verified per Opus review 2026-10-11; primary pending]</w:t>
            </w:r>
          </w:p>
        </w:tc>
        <w:tc>
          <w:tcPr/>
          <w:p>
            <w:pPr>
              <w:pStyle w:val="Compact"/>
            </w:pPr>
            <w:r>
              <w:t xml:space="preserve">Band II precedent</w:t>
            </w:r>
          </w:p>
        </w:tc>
        <w:tc>
          <w:tcPr/>
          <w:p>
            <w:pPr>
              <w:pStyle w:val="Compact"/>
            </w:pPr>
            <w:r>
              <w:t xml:space="preserve">biologically impossible voice theatrically released — the splice account now cited; one contemporary reviewer dissented that the result does not sound castrato (L2)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2009-12</w:t>
            </w:r>
          </w:p>
        </w:tc>
        <w:tc>
          <w:tcPr/>
          <w:p>
            <w:pPr>
              <w:pStyle w:val="Compact"/>
            </w:pPr>
            <w:r>
              <w:t xml:space="preserve">Avatar ships, ~$237M production</w:t>
            </w:r>
          </w:p>
        </w:tc>
        <w:tc>
          <w:tcPr/>
          <w:p>
            <w:pPr>
              <w:pStyle w:val="Compact"/>
            </w:pPr>
            <w:r>
              <w:t xml:space="preserve">pre-stack baseline</w:t>
            </w:r>
          </w:p>
        </w:tc>
        <w:tc>
          <w:tcPr/>
          <w:p>
            <w:pPr>
              <w:pStyle w:val="Compact"/>
            </w:pPr>
            <w:r>
              <w:t xml:space="preserve">spectacle corner of the triangle at maximum capex; script flattened to postcard for recoup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2009-08-14</w:t>
            </w:r>
          </w:p>
        </w:tc>
        <w:tc>
          <w:tcPr/>
          <w:p>
            <w:pPr>
              <w:pStyle w:val="Compact"/>
            </w:pPr>
            <w:r>
              <w:t xml:space="preserve">Redline premieres (Locarno, slipped from Annecy), seven-year hand-drawn production, ~100 min; Japan release 2010-10-09</w:t>
            </w:r>
          </w:p>
        </w:tc>
        <w:tc>
          <w:tcPr/>
          <w:p>
            <w:pPr>
              <w:pStyle w:val="Compact"/>
            </w:pPr>
            <w:r>
              <w:t xml:space="preserve">pre-stack baseline</w:t>
            </w:r>
          </w:p>
        </w:tc>
        <w:tc>
          <w:tcPr/>
          <w:p>
            <w:pPr>
              <w:pStyle w:val="Compact"/>
            </w:pPr>
            <w:r>
              <w:t xml:space="preserve">velocity corner priced beyond repetition — the production could not even make its own festival date;</w:t>
            </w:r>
            <w:r>
              <w:t xml:space="preserve"> </w:t>
            </w:r>
            <w:r>
              <w:rPr>
                <w:i/>
                <w:iCs/>
              </w:rPr>
              <w:t xml:space="preserve">The Boy and the Heron</w:t>
            </w:r>
            <w:r>
              <w:t xml:space="preserve"> </w:t>
            </w:r>
            <w:r>
              <w:t xml:space="preserve">(2023, hand-drawn, multi-year ) is the priced exception, financed by Miyazaki’s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2020-2024</w:t>
            </w:r>
          </w:p>
        </w:tc>
        <w:tc>
          <w:tcPr/>
          <w:p>
            <w:pPr>
              <w:pStyle w:val="Compact"/>
            </w:pPr>
            <w:r>
              <w:t xml:space="preserve">Theatrical window collapses, studio by studio</w:t>
            </w:r>
          </w:p>
        </w:tc>
        <w:tc>
          <w:tcPr/>
          <w:p>
            <w:pPr>
              <w:pStyle w:val="Compact"/>
            </w:pPr>
            <w:r>
              <w:t xml:space="preserve">Band V in motion</w:t>
            </w:r>
          </w:p>
        </w:tc>
        <w:tc>
          <w:tcPr/>
          <w:p>
            <w:pPr>
              <w:pStyle w:val="Compact"/>
            </w:pPr>
            <w:r>
              <w:t xml:space="preserve">Threshold D approached: runtime and venue stop being set by projectors and bladders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2023-01-31</w:t>
            </w:r>
          </w:p>
        </w:tc>
        <w:tc>
          <w:tcPr/>
          <w:p>
            <w:pPr>
              <w:pStyle w:val="Compact"/>
            </w:pPr>
            <w:r>
              <w:t xml:space="preserve">Netflix Japan / WIT</w:t>
            </w:r>
            <w:r>
              <w:t xml:space="preserve"> </w:t>
            </w:r>
            <w:r>
              <w:rPr>
                <w:i/>
                <w:iCs/>
              </w:rPr>
              <w:t xml:space="preserve">The Dog &amp; The Boy</w:t>
            </w:r>
            <w:r>
              <w:t xml:space="preserve">: generated background art, credited</w:t>
            </w:r>
            <w:r>
              <w:t xml:space="preserve"> </w:t>
            </w:r>
            <w:r>
              <w:t xml:space="preserve">“AI + human”</w:t>
            </w:r>
          </w:p>
        </w:tc>
        <w:tc>
          <w:tcPr/>
          <w:p>
            <w:pPr>
              <w:pStyle w:val="Compact"/>
            </w:pPr>
            <w:r>
              <w:t xml:space="preserve">B, Band II-III</w:t>
            </w:r>
          </w:p>
        </w:tc>
        <w:tc>
          <w:tcPr/>
          <w:p>
            <w:pPr>
              <w:pStyle w:val="Compact"/>
            </w:pPr>
            <w:r>
              <w:t xml:space="preserve">[web-verified per Opus review 2026-10-11; primary pending]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2023-04</w:t>
            </w:r>
          </w:p>
        </w:tc>
        <w:tc>
          <w:tcPr/>
          <w:p>
            <w:pPr>
              <w:pStyle w:val="Compact"/>
            </w:pPr>
            <w:r>
              <w:t xml:space="preserve">“Heart on My Sleeve”</w:t>
            </w:r>
            <w:r>
              <w:t xml:space="preserve"> </w:t>
            </w:r>
            <w:r>
              <w:t xml:space="preserve">(Ghostwriter977): synthetic Drake/Weeknd vocals, pulled after UMG takedowns</w:t>
            </w:r>
          </w:p>
        </w:tc>
        <w:tc>
          <w:tcPr/>
          <w:p>
            <w:pPr>
              <w:pStyle w:val="Compact"/>
            </w:pPr>
            <w:r>
              <w:t xml:space="preserve">A, C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2023-09 / 2023-12</w:t>
            </w:r>
          </w:p>
        </w:tc>
        <w:tc>
          <w:tcPr/>
          <w:p>
            <w:pPr>
              <w:pStyle w:val="Compact"/>
            </w:pPr>
            <w:r>
              <w:t xml:space="preserve">WGA + SAG-AFTRA contracts carry AI clauses</w:t>
            </w:r>
          </w:p>
        </w:tc>
        <w:tc>
          <w:tcPr/>
          <w:p>
            <w:pPr>
              <w:pStyle w:val="Compact"/>
            </w:pPr>
            <w:r>
              <w:t xml:space="preserve">owners for A, C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2023-11</w:t>
            </w:r>
          </w:p>
        </w:tc>
        <w:tc>
          <w:tcPr/>
          <w:p>
            <w:pPr>
              <w:pStyle w:val="Compact"/>
            </w:pPr>
            <w:r>
              <w:t xml:space="preserve">Beatles</w:t>
            </w:r>
            <w:r>
              <w:t xml:space="preserve"> </w:t>
            </w:r>
            <w:r>
              <w:t xml:space="preserve">“Now and Then”</w:t>
            </w:r>
            <w:r>
              <w:t xml:space="preserve">: ML separation of a 1970s Lennon demo</w:t>
            </w:r>
          </w:p>
        </w:tc>
        <w:tc>
          <w:tcPr/>
          <w:p>
            <w:pPr>
              <w:pStyle w:val="Compact"/>
            </w:pPr>
            <w:r>
              <w:t xml:space="preserve">A edge (human voice, machine recovery)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Song-stack models go mass-market; temp-to-master collapse in bedrooms</w:t>
            </w:r>
          </w:p>
        </w:tc>
        <w:tc>
          <w:tcPr/>
          <w:p>
            <w:pPr>
              <w:pStyle w:val="Compact"/>
            </w:pPr>
            <w:r>
              <w:t xml:space="preserve">Bands I-III crossed for music</w:t>
            </w:r>
          </w:p>
        </w:tc>
        <w:tc>
          <w:tcPr/>
          <w:p>
            <w:pPr>
              <w:pStyle w:val="Compact"/>
            </w:pPr>
            <w:r>
              <w:t xml:space="preserve">drafting-to-substitution for song form happened first because song form is short, cheap, and harmonically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2024-03</w:t>
            </w:r>
          </w:p>
        </w:tc>
        <w:tc>
          <w:tcPr/>
          <w:p>
            <w:pPr>
              <w:pStyle w:val="Compact"/>
            </w:pPr>
            <w:r>
              <w:t xml:space="preserve">Tennessee ELVIS Act signed</w:t>
            </w:r>
          </w:p>
        </w:tc>
        <w:tc>
          <w:tcPr/>
          <w:p>
            <w:pPr>
              <w:pStyle w:val="Compact"/>
            </w:pPr>
            <w:r>
              <w:t xml:space="preserve">Threshold C attempt</w:t>
            </w:r>
          </w:p>
        </w:tc>
        <w:tc>
          <w:tcPr/>
          <w:p>
            <w:pPr>
              <w:pStyle w:val="Compact"/>
            </w:pPr>
            <w:r>
              <w:t xml:space="preserve">first statute naming voice/likeness as protectable against synthesis; owner named, enforceability untested against latent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2024-09</w:t>
            </w:r>
          </w:p>
        </w:tc>
        <w:tc>
          <w:tcPr/>
          <w:p>
            <w:pPr>
              <w:pStyle w:val="Compact"/>
            </w:pPr>
            <w:r>
              <w:t xml:space="preserve">California AB 1836 / AB 2602 signed</w:t>
            </w:r>
          </w:p>
        </w:tc>
        <w:tc>
          <w:tcPr/>
          <w:p>
            <w:pPr>
              <w:pStyle w:val="Compact"/>
            </w:pPr>
            <w:r>
              <w:t xml:space="preserve">Threshold C attempt</w:t>
            </w:r>
          </w:p>
        </w:tc>
        <w:tc>
          <w:tcPr/>
          <w:p>
            <w:pPr>
              <w:pStyle w:val="Compact"/>
            </w:pPr>
            <w:r>
              <w:t xml:space="preserve">replica-likeness consent regime; discrete statute vs continuous space — the mismatch Ch VII dissects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2024-05</w:t>
            </w:r>
          </w:p>
        </w:tc>
        <w:tc>
          <w:tcPr/>
          <w:p>
            <w:pPr>
              <w:pStyle w:val="Compact"/>
            </w:pPr>
            <w:r>
              <w:t xml:space="preserve">Randy Travis</w:t>
            </w:r>
            <w:r>
              <w:t xml:space="preserve"> </w:t>
            </w:r>
            <w:r>
              <w:t xml:space="preserve">“Where That Came From”</w:t>
            </w:r>
            <w:r>
              <w:t xml:space="preserve">: rebuilt voice, consented</w:t>
            </w:r>
          </w:p>
        </w:tc>
        <w:tc>
          <w:tcPr/>
          <w:p>
            <w:pPr>
              <w:pStyle w:val="Compact"/>
            </w:pPr>
            <w:r>
              <w:t xml:space="preserve">A (consented crossing)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2024-06</w:t>
            </w:r>
          </w:p>
        </w:tc>
        <w:tc>
          <w:tcPr/>
          <w:p>
            <w:pPr>
              <w:pStyle w:val="Compact"/>
            </w:pPr>
            <w:r>
              <w:t xml:space="preserve">RIAA-backed suits v. Suno and Udio</w:t>
            </w:r>
          </w:p>
        </w:tc>
        <w:tc>
          <w:tcPr/>
          <w:p>
            <w:pPr>
              <w:pStyle w:val="Compact"/>
            </w:pPr>
            <w:r>
              <w:t xml:space="preserve">Ch VII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Brutalist</w:t>
            </w:r>
            <w:r>
              <w:t xml:space="preserve">: Respeecher-refined Hungarian dialogue, awards-season controversy</w:t>
            </w:r>
          </w:p>
        </w:tc>
        <w:tc>
          <w:tcPr/>
          <w:p>
            <w:pPr>
              <w:pStyle w:val="Compact"/>
            </w:pPr>
            <w:r>
              <w:t xml:space="preserve">A, award bodies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2025-03-18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Thaler v. Perlmutter</w:t>
            </w:r>
            <w:r>
              <w:t xml:space="preserve">, D.C. Cir.: human authorship required, pure AI output not registrable</w:t>
            </w:r>
          </w:p>
        </w:tc>
        <w:tc>
          <w:tcPr/>
          <w:p>
            <w:pPr>
              <w:pStyle w:val="Compact"/>
            </w:pPr>
            <w:r>
              <w:t xml:space="preserve">Ch VII brake</w:t>
            </w:r>
          </w:p>
        </w:tc>
        <w:tc>
          <w:tcPr/>
          <w:p>
            <w:pPr>
              <w:pStyle w:val="Compact"/>
            </w:pPr>
            <w:r>
              <w:t xml:space="preserve">[web-verified per Opus review 2026-10-11; primary opinion pending]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</w:t>
            </w:r>
          </w:p>
        </w:tc>
        <w:tc>
          <w:tcPr/>
          <w:p>
            <w:pPr>
              <w:pStyle w:val="Compact"/>
            </w:pPr>
            <w:r>
              <w:t xml:space="preserve">Academy rule: AI use</w:t>
            </w:r>
            <w:r>
              <w:t xml:space="preserve"> </w:t>
            </w:r>
            <w:r>
              <w:t xml:space="preserve">“neither helps nor harms”</w:t>
            </w:r>
            <w:r>
              <w:t xml:space="preserve"> </w:t>
            </w:r>
            <w: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t xml:space="preserve">award owners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</w:t>
            </w:r>
          </w:p>
        </w:tc>
        <w:tc>
          <w:tcPr/>
          <w:p>
            <w:pPr>
              <w:pStyle w:val="Compact"/>
            </w:pPr>
            <w:r>
              <w:t xml:space="preserve">Disney &amp; Universal v. Midjourney</w:t>
            </w:r>
          </w:p>
        </w:tc>
        <w:tc>
          <w:tcPr/>
          <w:p>
            <w:pPr>
              <w:pStyle w:val="Compact"/>
            </w:pPr>
            <w:r>
              <w:t xml:space="preserve">C, Ch VII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2025-06/07</w:t>
            </w:r>
          </w:p>
        </w:tc>
        <w:tc>
          <w:tcPr/>
          <w:p>
            <w:pPr>
              <w:pStyle w:val="Compact"/>
            </w:pPr>
            <w:r>
              <w:t xml:space="preserve">“The Velvet Sundown”</w:t>
            </w:r>
            <w:r>
              <w:t xml:space="preserve">: AI band, large Spotify audience before disclosure</w:t>
            </w:r>
          </w:p>
        </w:tc>
        <w:tc>
          <w:tcPr/>
          <w:p>
            <w:pPr>
              <w:pStyle w:val="Compact"/>
            </w:pPr>
            <w:r>
              <w:t xml:space="preserve">A, Band III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</w:t>
            </w:r>
          </w:p>
        </w:tc>
        <w:tc>
          <w:tcPr/>
          <w:p>
            <w:pPr>
              <w:pStyle w:val="Compact"/>
            </w:pPr>
            <w:r>
              <w:t xml:space="preserve">IMO gold-level AI results (see hypermath, Issue #6)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Tilly Norwood (Particle6/Xicoia): agents reportedly interested, SAG-AFTRA condemnation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first real Threshold C row</w:t>
            </w:r>
          </w:p>
        </w:tc>
        <w:tc>
          <w:tcPr/>
          <w:p>
            <w:pPr>
              <w:pStyle w:val="Compact"/>
            </w:pPr>
            <w:r>
              <w:t xml:space="preserve">[web-verified per Opus review 2026-10-11; primary pending]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2025-09/10</w:t>
            </w:r>
          </w:p>
        </w:tc>
        <w:tc>
          <w:tcPr/>
          <w:p>
            <w:pPr>
              <w:pStyle w:val="Compact"/>
            </w:pPr>
            <w:r>
              <w:t xml:space="preserve">Sora 2 release with synchronized audio</w:t>
            </w:r>
          </w:p>
        </w:tc>
        <w:tc>
          <w:tcPr/>
          <w:p>
            <w:pPr>
              <w:pStyle w:val="Compact"/>
            </w:pPr>
            <w:r>
              <w:t xml:space="preserve">Band III-IV video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 / 2025-11-25</w:t>
            </w:r>
          </w:p>
        </w:tc>
        <w:tc>
          <w:tcPr/>
          <w:p>
            <w:pPr>
              <w:pStyle w:val="Compact"/>
            </w:pPr>
            <w:r>
              <w:t xml:space="preserve">UMG-Udio, WMG-Suno settlements; Suno to licensed models in 2026</w:t>
            </w:r>
          </w:p>
        </w:tc>
        <w:tc>
          <w:tcPr/>
          <w:p>
            <w:pPr>
              <w:pStyle w:val="Compact"/>
            </w:pPr>
            <w:r>
              <w:t xml:space="preserve">Ch VII mutation (prohibition to licensing)</w:t>
            </w:r>
          </w:p>
        </w:tc>
        <w:tc>
          <w:tcPr/>
          <w:p>
            <w:pPr>
              <w:pStyle w:val="Compact"/>
            </w:pPr>
            <w:r>
              <w:t xml:space="preserve">[web-verified per Opus review 2026-10-11; primary pending]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EU AI Act Art. 50 transparency obligations apply</w:t>
            </w:r>
          </w:p>
        </w:tc>
        <w:tc>
          <w:tcPr/>
          <w:p>
            <w:pPr>
              <w:pStyle w:val="Compact"/>
            </w:pPr>
            <w:r>
              <w:t xml:space="preserve">E, provenance</w:t>
            </w:r>
          </w:p>
        </w:tc>
        <w:tc>
          <w:tcPr/>
          <w:p>
            <w:pPr>
              <w:pStyle w:val="Compact"/>
            </w:pPr>
            <w:r>
              <w:t xml:space="preserve">[memory — 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Crafting Apps (ArtCraft/PhotoCraft) reported as free substitutes for Adobe, worldwide; clean-room claim with Guadamuz caveat</w:t>
            </w:r>
          </w:p>
        </w:tc>
        <w:tc>
          <w:tcPr/>
          <w:p>
            <w:pPr>
              <w:pStyle w:val="Compact"/>
            </w:pPr>
            <w:r>
              <w:t xml:space="preserve">Band III tools, L3</w:t>
            </w:r>
          </w:p>
        </w:tc>
        <w:tc>
          <w:tcPr/>
          <w:p>
            <w:pPr>
              <w:pStyle w:val="Compact"/>
            </w:pPr>
            <w:r>
              <w:t xml:space="preserve">production-tool collapse reaches a general audience; the tool chain is now a dated row, not an omission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2026-10-18</w:t>
            </w:r>
          </w:p>
        </w:tc>
        <w:tc>
          <w:tcPr/>
          <w:p>
            <w:pPr>
              <w:pStyle w:val="Compact"/>
            </w:pPr>
            <w:r>
              <w:t xml:space="preserve">PhotoCraft v0.10.0 shipping; attention peak 2026-10-07..12 (per Cursor brief)</w:t>
            </w:r>
          </w:p>
        </w:tc>
        <w:tc>
          <w:tcPr/>
          <w:p>
            <w:pPr>
              <w:pStyle w:val="Compact"/>
            </w:pPr>
            <w:r>
              <w:t xml:space="preserve">Band V</w:t>
            </w:r>
          </w:p>
        </w:tc>
        <w:tc>
          <w:tcPr/>
          <w:p>
            <w:pPr>
              <w:pStyle w:val="Compact"/>
            </w:pPr>
            <w:r>
              <w:t xml:space="preserve">the blast radius has a peak date; a November copy claiming the same weather is a falsifiable error</w:t>
            </w:r>
          </w:p>
        </w:tc>
      </w:tr>
    </w:tbl>
    <w:bookmarkEnd w:id="9"/>
    <w:bookmarkStart w:id="10" w:name="what-has-not-happened-say-it-plainly"/>
    <w:p>
      <w:pPr>
        <w:pStyle w:val="Heading2"/>
      </w:pPr>
      <w:r>
        <w:t xml:space="preserve">What has NOT happened (say it plainly)</w:t>
      </w:r>
    </w:p>
    <w:p>
      <w:pPr>
        <w:pStyle w:val="FirstParagraph"/>
      </w:pPr>
      <w:r>
        <w:t xml:space="preserve">No verified unbroken multi-day synthetic narrative has shipped to a paying</w:t>
      </w:r>
      <w:r>
        <w:t xml:space="preserve"> </w:t>
      </w:r>
      <w:r>
        <w:t xml:space="preserve">audience without a biological cut. No lead screen likeness has been</w:t>
      </w:r>
      <w:r>
        <w:t xml:space="preserve"> </w:t>
      </w:r>
      <w:r>
        <w:t xml:space="preserve">conclusively shown to be a deniable archetype with dated provenance.</w:t>
      </w:r>
      <w:r>
        <w:t xml:space="preserve"> </w:t>
      </w:r>
      <w:r>
        <w:t xml:space="preserve">No award body has ruled a fully synthetic score eligible or ineligible with</w:t>
      </w:r>
      <w:r>
        <w:t xml:space="preserve"> </w:t>
      </w:r>
      <w:r>
        <w:t xml:space="preserve">published reasoning. No BCI narrative master exists outside lab demos.</w:t>
      </w:r>
      <w:r>
        <w:t xml:space="preserve"> </w:t>
      </w:r>
      <w:r>
        <w:t xml:space="preserve">These are not</w:t>
      </w:r>
      <w:r>
        <w:t xml:space="preserve"> </w:t>
      </w:r>
      <w:r>
        <w:t xml:space="preserve">“not yet”</w:t>
      </w:r>
      <w:r>
        <w:t xml:space="preserve"> </w:t>
      </w:r>
      <w:r>
        <w:t xml:space="preserve">as prophecy. They are</w:t>
      </w:r>
      <w:r>
        <w:t xml:space="preserve"> </w:t>
      </w:r>
      <w:r>
        <w:t xml:space="preserve">“not evidenced”</w:t>
      </w:r>
      <w:r>
        <w:t xml:space="preserve"> </w:t>
      </w:r>
      <w:r>
        <w:t xml:space="preserve">as discipline.</w:t>
      </w:r>
      <w:r>
        <w:t xml:space="preserve"> </w:t>
      </w:r>
      <w:r>
        <w:t xml:space="preserve">A ladder with silent gaps is a horoscope; this one lists its holes on purpose</w:t>
      </w:r>
      <w:r>
        <w:t xml:space="preserve"> </w:t>
      </w:r>
      <w:r>
        <w:t xml:space="preserve">so the next revision can fill or move them.</w:t>
      </w:r>
    </w:p>
    <w:bookmarkEnd w:id="10"/>
    <w:bookmarkStart w:id="11" w:name="which-rung-are-we-on"/>
    <w:p>
      <w:pPr>
        <w:pStyle w:val="Heading2"/>
      </w:pPr>
      <w:r>
        <w:t xml:space="preserve">Which rung are we on</w:t>
      </w:r>
    </w:p>
    <w:p>
      <w:pPr>
        <w:pStyle w:val="FirstParagraph"/>
      </w:pPr>
      <w:r>
        <w:t xml:space="preserve">Music: Bands I-III crossed, Band IV in progress — convergence drafts circulate,</w:t>
      </w:r>
      <w:r>
        <w:t xml:space="preserve"> </w:t>
      </w:r>
      <w:r>
        <w:t xml:space="preserve">full monograph-density albums at peak production do not yet have dated</w:t>
      </w:r>
      <w:r>
        <w:t xml:space="preserve"> </w:t>
      </w:r>
      <w:r>
        <w:t xml:space="preserve">provenance. Voice: Band II-III boundary — chimeras ship as novelty and</w:t>
      </w:r>
      <w:r>
        <w:t xml:space="preserve"> </w:t>
      </w:r>
      <w:r>
        <w:t xml:space="preserve">placeholder, the Last Take has not verifiably fallen for lead dramatic</w:t>
      </w:r>
      <w:r>
        <w:t xml:space="preserve"> </w:t>
      </w:r>
      <w:r>
        <w:t xml:space="preserve">performance. Image: Band II-IV spread — peak-intensity test footage weekly,</w:t>
      </w:r>
      <w:r>
        <w:t xml:space="preserve"> </w:t>
      </w:r>
      <w:r>
        <w:t xml:space="preserve">sustained 100-minute convergence feature with dated pipeline: not evidenced.</w:t>
      </w:r>
      <w:r>
        <w:t xml:space="preserve"> </w:t>
      </w:r>
      <w:r>
        <w:t xml:space="preserve">Exhibition: Band V in motion — the window is custom, not law. Immersion:</w:t>
      </w:r>
      <w:r>
        <w:t xml:space="preserve"> </w:t>
      </w:r>
      <w:r>
        <w:t xml:space="preserve">Band VI drafting — demos, not masters.</w:t>
      </w:r>
    </w:p>
    <w:p>
      <w:pPr>
        <w:pStyle w:val="BodyText"/>
      </w:pPr>
      <w:r>
        <w:t xml:space="preserve">In takeover-book coordinates this is the equivalent of rung 13-14: the audit</w:t>
      </w:r>
      <w:r>
        <w:t xml:space="preserve"> </w:t>
      </w:r>
      <w:r>
        <w:t xml:space="preserve">floor is cracking under us. We can still, barely, reconstruct why a given</w:t>
      </w:r>
      <w:r>
        <w:t xml:space="preserve"> </w:t>
      </w:r>
      <w:r>
        <w:t xml:space="preserve">released artifact sounds and looks the way it does. The week we cannot — the</w:t>
      </w:r>
      <w:r>
        <w:t xml:space="preserve"> </w:t>
      </w:r>
      <w:r>
        <w:t xml:space="preserve">week the provenance chain goes from</w:t>
      </w:r>
      <w:r>
        <w:t xml:space="preserve"> </w:t>
      </w:r>
      <w:r>
        <w:t xml:space="preserve">“fatigued mixer approved it”</w:t>
      </w:r>
      <w:r>
        <w:t xml:space="preserve"> </w:t>
      </w:r>
      <w:r>
        <w:t xml:space="preserve">to</w:t>
      </w:r>
      <w:r>
        <w:t xml:space="preserve"> </w:t>
      </w:r>
      <w:r>
        <w:t xml:space="preserve">“nobody</w:t>
      </w:r>
      <w:r>
        <w:t xml:space="preserve"> </w:t>
      </w:r>
      <w:r>
        <w:t xml:space="preserve">can say what approved it”</w:t>
      </w:r>
      <w:r>
        <w:t xml:space="preserve"> </w:t>
      </w:r>
      <w:r>
        <w:t xml:space="preserve">— is the Audit Floor’s aesthetic twin, and it will not</w:t>
      </w:r>
      <w:r>
        <w:t xml:space="preserve"> </w:t>
      </w:r>
      <w:r>
        <w:t xml:space="preserve">announce itself. It will look like a very productive Tuesday.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2405"/>
        <w:gridCol w:w="1203"/>
        <w:gridCol w:w="42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PhotoCraft first commit (</w:t>
            </w:r>
            <w:r>
              <w:rPr>
                <w:rStyle w:val="VerbatimChar"/>
              </w:rPr>
              <w:t xml:space="preserve">storytold/photocraft</w:t>
            </w:r>
            <w:r>
              <w:t xml:space="preserve">); six more Crafts the same week</w:t>
            </w:r>
          </w:p>
        </w:tc>
        <w:tc>
          <w:tcPr/>
          <w:p>
            <w:pPr>
              <w:pStyle w:val="Compact"/>
            </w:pPr>
            <w:r>
              <w:t xml:space="preserve">production-tool chain, not a band</w:t>
            </w:r>
          </w:p>
        </w:tc>
        <w:tc>
          <w:tcPr/>
          <w:p>
            <w:pPr>
              <w:pStyle w:val="Compact"/>
            </w:pPr>
            <w:r>
              <w:t xml:space="preserve">the editor of record for generated stills is no longer only Photoshop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Ars Technica</w:t>
            </w:r>
            <w:r>
              <w:t xml:space="preserve"> </w:t>
            </w:r>
            <w:r>
              <w:t xml:space="preserve">“Software is over”</w:t>
            </w:r>
            <w:r>
              <w:t xml:space="preserve">; Office/CAD/audio Crafts appear</w:t>
            </w:r>
          </w:p>
        </w:tc>
        <w:tc>
          <w:tcPr/>
          <w:p>
            <w:pPr>
              <w:pStyle w:val="Compact"/>
            </w:pPr>
            <w:r>
              <w:t xml:space="preserve">tool chain</w:t>
            </w:r>
          </w:p>
        </w:tc>
        <w:tc>
          <w:tcPr/>
          <w:p>
            <w:pPr>
              <w:pStyle w:val="Compact"/>
            </w:pPr>
            <w:r>
              <w:t xml:space="preserve">switching-cost attack on the same week as general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Al Jazeera on free substitutes for Adobe and Microsoft</w:t>
            </w:r>
          </w:p>
        </w:tc>
        <w:tc>
          <w:tcPr/>
          <w:p>
            <w:pPr>
              <w:pStyle w:val="Compact"/>
            </w:pPr>
            <w:r>
              <w:t xml:space="preserve">exhibition of the</w:t>
            </w:r>
            <w:r>
              <w:t xml:space="preserve"> </w:t>
            </w:r>
            <w:r>
              <w:rPr>
                <w:i/>
                <w:i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cultural blast radius left specialist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2026-10-18</w:t>
            </w:r>
          </w:p>
        </w:tc>
        <w:tc>
          <w:tcPr/>
          <w:p>
            <w:pPr>
              <w:pStyle w:val="Compact"/>
            </w:pPr>
            <w:r>
              <w:t xml:space="preserve">Goliath: ArtCraft Launcher v0.5.1; roaming data for twelve of thirteen Crafts; Sandra: CLI and MCP usable</w:t>
            </w:r>
          </w:p>
        </w:tc>
        <w:tc>
          <w:tcPr/>
          <w:p>
            <w:pPr>
              <w:pStyle w:val="Compact"/>
            </w:pPr>
            <w:r>
              <w:t xml:space="preserve">operator fact</w:t>
            </w:r>
          </w:p>
        </w:tc>
        <w:tc>
          <w:tcPr/>
          <w:p>
            <w:pPr>
              <w:pStyle w:val="Compact"/>
            </w:pPr>
            <w:r>
              <w:t xml:space="preserve">the production chain is installed, not merely announced. See on-metacraft Ch V</w:t>
            </w:r>
          </w:p>
        </w:tc>
      </w:tr>
    </w:tbl>
    <w:p>
      <w:pPr>
        <w:pStyle w:val="BodyText"/>
      </w:pPr>
      <w:r>
        <w:t xml:space="preserve">These rows are tools, not takes. They do not move Threshold A-E. They</w:t>
      </w:r>
      <w:r>
        <w:t xml:space="preserve"> </w:t>
      </w:r>
      <w:r>
        <w:t xml:space="preserve">change who can still say no to a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after the kami has generated it.</w:t>
      </w:r>
    </w:p>
    <w:bookmarkEnd w:id="11"/>
    <w:bookmarkStart w:id="12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Takeover-book’s Chapter V is dated July 2026 agent coordination as rung 11</w:t>
      </w:r>
      <w:r>
        <w:t xml:space="preserve"> </w:t>
      </w:r>
      <w:r>
        <w:t xml:space="preserve">and monitorability decay on the operator’s own testimony as rung 8. Hyperwar’s</w:t>
      </w:r>
      <w:r>
        <w:t xml:space="preserve"> </w:t>
      </w:r>
      <w:r>
        <w:t xml:space="preserve">Chapter V is fiber FPV and DIY cruise missiles with strike dates. MetaCraft’s</w:t>
      </w:r>
      <w:r>
        <w:t xml:space="preserve"> </w:t>
      </w:r>
      <w:r>
        <w:t xml:space="preserve">Chapter V is the thirteen Crafts plus Goliath. This chapter’s equivalents are</w:t>
      </w:r>
      <w:r>
        <w:t xml:space="preserve"> </w:t>
      </w:r>
      <w:r>
        <w:t xml:space="preserve">smaller and harder to date because culture ships without casualty reports —</w:t>
      </w:r>
      <w:r>
        <w:t xml:space="preserve"> </w:t>
      </w:r>
      <w:r>
        <w:t xml:space="preserve">which is exactly why the table above must be maintained like an incident log,</w:t>
      </w:r>
      <w:r>
        <w:t xml:space="preserve"> </w:t>
      </w:r>
      <w:r>
        <w:t xml:space="preserve">not an essay. The essay is Chapters I-IV. This is the logbook.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2026-10-19T18:35:05Z</dcterms:created>
  <dcterms:modified xsi:type="dcterms:W3CDTF">2026-10-19T18:35:05Z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