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vi.-thresholds-as-attachment-points"/>
    <w:p>
      <w:pPr>
        <w:pStyle w:val="Heading1"/>
      </w:pPr>
      <w:r>
        <w:t xml:space="preserve">VI. Thresholds as Attachment Points</w:t>
      </w:r>
    </w:p>
    <w:bookmarkStart w:id="9" w:name="why-thresholds-not-rungs"/>
    <w:p>
      <w:pPr>
        <w:pStyle w:val="Heading2"/>
      </w:pPr>
      <w:r>
        <w:t xml:space="preserve">Why thresholds, not rungs</w:t>
      </w:r>
    </w:p>
    <w:p>
      <w:pPr>
        <w:pStyle w:val="FirstParagraph"/>
      </w:pPr>
      <w:r>
        <w:t xml:space="preserve">“Withhold synthesis as needed”</w:t>
      </w:r>
      <w:r>
        <w:t xml:space="preserve"> </w:t>
      </w:r>
      <w:r>
        <w:t xml:space="preserve">is not a policy. It is the shape of a policy</w:t>
      </w:r>
      <w:r>
        <w:t xml:space="preserve"> </w:t>
      </w:r>
      <w:r>
        <w:t xml:space="preserve">that has nowhere to be written down — Pachocki’s alien-mind phrasing (OpenAI, Sept 2026: commitments to withhold scaling</w:t>
      </w:r>
      <w:r>
        <w:t xml:space="preserve"> </w:t>
      </w:r>
      <w:r>
        <w:t xml:space="preserve">“as needed”</w:t>
      </w:r>
      <w:r>
        <w:t xml:space="preserve">, with no threshold to attach them to ) applies</w:t>
      </w:r>
      <w:r>
        <w:t xml:space="preserve"> </w:t>
      </w:r>
      <w:r>
        <w:t xml:space="preserve">word for word to the studio that promises restraint without naming the line.</w:t>
      </w:r>
      <w:r>
        <w:t xml:space="preserve"> </w:t>
      </w:r>
      <w:r>
        <w:t xml:space="preserve">A rung describes. A threshold binds: do not cross without an audit regime, a</w:t>
      </w:r>
      <w:r>
        <w:t xml:space="preserve"> </w:t>
      </w:r>
      <w:r>
        <w:t xml:space="preserve">named owner, and a verification the rival can observe. Kahn’s thresholds had</w:t>
      </w:r>
      <w:r>
        <w:t xml:space="preserve"> </w:t>
      </w:r>
      <w:r>
        <w:t xml:space="preserve">names crews could remember in the dark — Don’t Rock the Boat, No Nuclear Use,</w:t>
      </w:r>
      <w:r>
        <w:t xml:space="preserve"> </w:t>
      </w:r>
      <w:r>
        <w:t xml:space="preserve">Central Sanctuary. Ours need the same memorability, because the crossing will</w:t>
      </w:r>
      <w:r>
        <w:t xml:space="preserve"> </w:t>
      </w:r>
      <w:r>
        <w:t xml:space="preserve">happen at 02:00 with a fatigued mixer at the desk, and nobody reads footnotes</w:t>
      </w:r>
      <w:r>
        <w:t xml:space="preserve"> </w:t>
      </w:r>
      <w:r>
        <w:t xml:space="preserve">at 02:00.</w:t>
      </w:r>
    </w:p>
    <w:p>
      <w:pPr>
        <w:pStyle w:val="BodyText"/>
      </w:pPr>
      <w:r>
        <w:t xml:space="preserve">Each threshold below: definition, crossing test, owner, precedent. A threshold</w:t>
      </w:r>
      <w:r>
        <w:t xml:space="preserve"> </w:t>
      </w:r>
      <w:r>
        <w:t xml:space="preserve">nobody owns is a wish. Wishes are Chapter VII’s subject, not this one’s.</w:t>
      </w:r>
    </w:p>
    <w:bookmarkEnd w:id="9"/>
    <w:bookmarkStart w:id="10" w:name="a-the-last-take-vocal"/>
    <w:p>
      <w:pPr>
        <w:pStyle w:val="Heading2"/>
      </w:pPr>
      <w:r>
        <w:t xml:space="preserve">A — The Last Take (vocal)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last shipped lead vocal whose credited performer sang that line, in some take.</w:t>
      </w:r>
      <w:r>
        <w:t xml:space="preserve"> </w:t>
      </w:r>
      <w:r>
        <w:rPr>
          <w:b/>
          <w:bCs/>
        </w:rPr>
        <w:t xml:space="preserve">Crossing test:</w:t>
      </w:r>
      <w:r>
        <w:t xml:space="preserve"> </w:t>
      </w:r>
      <w:r>
        <w:t xml:space="preserve">the performer never sang it — no session producible in which they did. Comping, tuning, and punch-ins stay human; substitution does not. (The naive version — one room, one unbroken take — fell decades ago to multitrack comping and pitch correction: Cher,</w:t>
      </w:r>
      <w:r>
        <w:t xml:space="preserve"> </w:t>
      </w:r>
      <w:r>
        <w:t xml:space="preserve">“Believe”</w:t>
      </w:r>
      <w:r>
        <w:t xml:space="preserve">, 1998 ; the DAW era made the unbroken take a choice, then a rarity. This threshold is drawn past them on purpose.)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labels and unions first, statute second .</w:t>
      </w:r>
      <w:r>
        <w:t xml:space="preserve"> </w:t>
      </w:r>
      <w:r>
        <w:rPr>
          <w:b/>
          <w:bCs/>
        </w:rPr>
        <w:t xml:space="preserve">Precedent:</w:t>
      </w:r>
      <w:r>
        <w:t xml:space="preserve"> </w:t>
      </w:r>
      <w:r>
        <w:t xml:space="preserve">the temp that stayed. Every mixer alive has kept a scratch vocal because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session never beat it for feel. Threshold A is the day the scratch</w:t>
      </w:r>
      <w:r>
        <w:t xml:space="preserve"> </w:t>
      </w:r>
      <w:r>
        <w:t xml:space="preserve">stops being the exception and becomes the master, and nobody writes it down</w:t>
      </w:r>
      <w:r>
        <w:t xml:space="preserve"> </w:t>
      </w:r>
      <w:r>
        <w:t xml:space="preserve">because writing it down would require a meeting about what a singer is.</w:t>
      </w:r>
    </w:p>
    <w:p>
      <w:pPr>
        <w:pStyle w:val="BodyText"/>
      </w:pPr>
      <w:r>
        <w:t xml:space="preserve">The terror here is not replacement. It is continuity: the audience will not</w:t>
      </w:r>
      <w:r>
        <w:t xml:space="preserve"> </w:t>
      </w:r>
      <w:r>
        <w:t xml:space="preserve">notice. The formant does not check provenance; the listener’s beliefs do — and beliefs are trainable.</w:t>
      </w:r>
    </w:p>
    <w:bookmarkEnd w:id="10"/>
    <w:bookmarkStart w:id="11" w:name="b-the-last-frame-visual-labor"/>
    <w:p>
      <w:pPr>
        <w:pStyle w:val="Heading2"/>
      </w:pPr>
      <w:r>
        <w:t xml:space="preserve">B — The Last Frame (visual labor)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last shipped cut whose key animation a studio can attribute to a named human.</w:t>
      </w:r>
      <w:r>
        <w:t xml:space="preserve"> </w:t>
      </w:r>
      <w:r>
        <w:rPr>
          <w:b/>
          <w:bCs/>
        </w:rPr>
        <w:t xml:space="preserve">Crossing test:</w:t>
      </w:r>
      <w:r>
        <w:t xml:space="preserve"> </w:t>
      </w:r>
      <w:r>
        <w:t xml:space="preserve">the studio cannot name a key animator (genga) per cut, on demand — from credit sheets, not memory. (The naive version — the hand-drawn frame — fell in 1990 to Disney CAPS ink-and-paint,</w:t>
      </w:r>
      <w:r>
        <w:t xml:space="preserve"> </w:t>
      </w:r>
      <w:r>
        <w:rPr>
          <w:i/>
          <w:iCs/>
        </w:rPr>
        <w:t xml:space="preserve">The Rescuers Down Under</w:t>
      </w:r>
      <w:r>
        <w:t xml:space="preserve"> </w:t>
      </w:r>
      <w:r>
        <w:t xml:space="preserve">, and CG in-betweening finished the job. This threshold is about authorship records, not graphite.)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studios and unions ; award</w:t>
      </w:r>
      <w:r>
        <w:t xml:space="preserve"> </w:t>
      </w:r>
      <w:r>
        <w:t xml:space="preserve">bodies as secondary witnesses.</w:t>
      </w:r>
      <w:r>
        <w:t xml:space="preserve"> </w:t>
      </w:r>
      <w:r>
        <w:rPr>
          <w:b/>
          <w:bCs/>
        </w:rPr>
        <w:t xml:space="preserve">Precedent:</w:t>
      </w:r>
      <w:r>
        <w:t xml:space="preserve"> </w:t>
      </w:r>
      <w:r>
        <w:t xml:space="preserve">previz lock. The previsualization</w:t>
      </w:r>
      <w:r>
        <w:t xml:space="preserve"> </w:t>
      </w:r>
      <w:r>
        <w:t xml:space="preserve">cut, once a sketch, became the film before casting finished — the sketch that</w:t>
      </w:r>
      <w:r>
        <w:t xml:space="preserve"> </w:t>
      </w:r>
      <w:r>
        <w:t xml:space="preserve">ate the shoot. The Last Frame is previz’s final victory: the drawing that was</w:t>
      </w:r>
      <w:r>
        <w:t xml:space="preserve"> </w:t>
      </w:r>
      <w:r>
        <w:t xml:space="preserve">never a drawing, only a prompt’s confident child.</w:t>
      </w:r>
    </w:p>
    <w:p>
      <w:pPr>
        <w:pStyle w:val="BodyText"/>
      </w:pPr>
      <w:r>
        <w:t xml:space="preserve">Exhilaration, honestly logged: every frame at Redline intensity without the</w:t>
      </w:r>
      <w:r>
        <w:t xml:space="preserve"> </w:t>
      </w:r>
      <w:r>
        <w:t xml:space="preserve">seven-year hemorrhage. The end of the suicide premium. Nobody has to sleep</w:t>
      </w:r>
      <w:r>
        <w:t xml:space="preserve"> </w:t>
      </w:r>
      <w:r>
        <w:t xml:space="preserve">under the desk again. The price is that nobody can point at a smear and name</w:t>
      </w:r>
      <w:r>
        <w:t xml:space="preserve"> </w:t>
      </w:r>
      <w:r>
        <w:t xml:space="preserve">the wrist. Craft becomes curation — the gardener’s job from Chapter IV, now</w:t>
      </w:r>
      <w:r>
        <w:t xml:space="preserve"> </w:t>
      </w:r>
      <w:r>
        <w:t xml:space="preserve">with a union steward watching the garden get gardened.</w:t>
      </w:r>
    </w:p>
    <w:bookmarkEnd w:id="11"/>
    <w:bookmarkStart w:id="12" w:name="c-the-last-face-likeness"/>
    <w:p>
      <w:pPr>
        <w:pStyle w:val="Heading2"/>
      </w:pPr>
      <w:r>
        <w:t xml:space="preserve">C — The Last Face (likeness)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last lead likeness that is a contracted human face.</w:t>
      </w:r>
      <w:r>
        <w:t xml:space="preserve"> </w:t>
      </w:r>
      <w:r>
        <w:rPr>
          <w:b/>
          <w:bCs/>
        </w:rPr>
        <w:t xml:space="preserve">Crossing test:</w:t>
      </w:r>
      <w:r>
        <w:t xml:space="preserve"> </w:t>
      </w:r>
      <w:r>
        <w:t xml:space="preserve">the deniable archetype — a face the audience reads as</w:t>
      </w:r>
      <w:r>
        <w:t xml:space="preserve"> </w:t>
      </w:r>
      <w:r>
        <w:t xml:space="preserve">star-grade, the lab reads as interpolation between icons, and the lawyer reads</w:t>
      </w:r>
      <w:r>
        <w:t xml:space="preserve"> </w:t>
      </w:r>
      <w:r>
        <w:t xml:space="preserve">as no one. Granite jaw remembered from somewhere, glottal anxiety borrowed</w:t>
      </w:r>
      <w:r>
        <w:t xml:space="preserve"> </w:t>
      </w:r>
      <w:r>
        <w:t xml:space="preserve">from nowhere actionable.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right-of-publicity regime, and that is the</w:t>
      </w:r>
      <w:r>
        <w:t xml:space="preserve"> </w:t>
      </w:r>
      <w:r>
        <w:t xml:space="preserve">problem .</w:t>
      </w:r>
      <w:r>
        <w:t xml:space="preserve"> </w:t>
      </w:r>
      <w:r>
        <w:rPr>
          <w:b/>
          <w:bCs/>
        </w:rPr>
        <w:t xml:space="preserve">Precedent:</w:t>
      </w:r>
      <w:r>
        <w:t xml:space="preserve"> </w:t>
      </w:r>
      <w:r>
        <w:t xml:space="preserve">Face-equity flight — talent converting contracted-likeness value into asset classes no pipeline prices</w:t>
      </w:r>
      <w:r>
        <w:t xml:space="preserve"> </w:t>
      </w:r>
      <w:r>
        <w:t xml:space="preserve">into unburnable assets while the pipeline still prices faces .</w:t>
      </w:r>
    </w:p>
    <w:p>
      <w:pPr>
        <w:pStyle w:val="BodyText"/>
      </w:pPr>
      <w:r>
        <w:t xml:space="preserve">This is the most legally exposed threshold: discrete statutes cannot bind continuous space. The law names persons; the</w:t>
      </w:r>
      <w:r>
        <w:t xml:space="preserve"> </w:t>
      </w:r>
      <w:r>
        <w:t xml:space="preserve">latent walks between them. Every named face is an island; the model is the sea.</w:t>
      </w:r>
      <w:r>
        <w:t xml:space="preserve"> </w:t>
      </w:r>
      <w:r>
        <w:t xml:space="preserve">You cannot sue the sea for resembling your island from a distance. Threshold C</w:t>
      </w:r>
      <w:r>
        <w:t xml:space="preserve"> </w:t>
      </w:r>
      <w:r>
        <w:t xml:space="preserve">will be crossed deniably, repeatedly, and the first lawsuit will settle without</w:t>
      </w:r>
      <w:r>
        <w:t xml:space="preserve"> </w:t>
      </w:r>
      <w:r>
        <w:t xml:space="preserve">admission because admission would require explaining interpolation to a jury at</w:t>
      </w:r>
      <w:r>
        <w:t xml:space="preserve"> </w:t>
      </w:r>
      <w:r>
        <w:t xml:space="preserve">billable rates. The brake that needs a jury’s intuition about high-dimensional</w:t>
      </w:r>
      <w:r>
        <w:t xml:space="preserve"> </w:t>
      </w:r>
      <w:r>
        <w:t xml:space="preserve">geometry is not a brake. It is a seminar.</w:t>
      </w:r>
    </w:p>
    <w:bookmarkEnd w:id="12"/>
    <w:bookmarkStart w:id="13" w:name="d-the-last-cut-exhibition"/>
    <w:p>
      <w:pPr>
        <w:pStyle w:val="Heading2"/>
      </w:pPr>
      <w:r>
        <w:t xml:space="preserve">D — The Last Cut (exhibition)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last work with a fixed runtime at all.</w:t>
      </w:r>
      <w:r>
        <w:t xml:space="preserve"> </w:t>
      </w:r>
      <w:r>
        <w:rPr>
          <w:b/>
          <w:bCs/>
        </w:rPr>
        <w:t xml:space="preserve">Crossing test:</w:t>
      </w:r>
      <w:r>
        <w:t xml:space="preserve"> </w:t>
      </w:r>
      <w:r>
        <w:t xml:space="preserve">two viewers cannot have seen</w:t>
      </w:r>
      <w:r>
        <w:t xml:space="preserve"> </w:t>
      </w:r>
      <w:r>
        <w:t xml:space="preserve">‘the same film’</w:t>
      </w:r>
      <w:r>
        <w:t xml:space="preserve"> </w:t>
      </w:r>
      <w:r>
        <w:t xml:space="preserve">— generated, extended, or personalised per viewer, so runtime is a property of the session, not the work. (Length alone fell long ago: Warhol’s</w:t>
      </w:r>
      <w:r>
        <w:t xml:space="preserve"> </w:t>
      </w:r>
      <w:r>
        <w:rPr>
          <w:i/>
          <w:iCs/>
        </w:rPr>
        <w:t xml:space="preserve">Empire</w:t>
      </w:r>
      <w:r>
        <w:t xml:space="preserve"> </w:t>
      </w:r>
      <w:r>
        <w:t xml:space="preserve">(1964, ~8 h), Tarr’s</w:t>
      </w:r>
      <w:r>
        <w:t xml:space="preserve"> </w:t>
      </w:r>
      <w:r>
        <w:rPr>
          <w:i/>
          <w:iCs/>
        </w:rPr>
        <w:t xml:space="preserve">Satantango</w:t>
      </w:r>
      <w:r>
        <w:t xml:space="preserve"> </w:t>
      </w:r>
      <w:r>
        <w:t xml:space="preserve">(1994, ~7.5 h), Marclay’s</w:t>
      </w:r>
      <w:r>
        <w:t xml:space="preserve"> </w:t>
      </w:r>
      <w:r>
        <w:rPr>
          <w:i/>
          <w:iCs/>
        </w:rPr>
        <w:t xml:space="preserve">The Clock</w:t>
      </w:r>
      <w:r>
        <w:t xml:space="preserve"> </w:t>
      </w:r>
      <w:r>
        <w:t xml:space="preserve">(2010, 24 h) — and serial TV demoted the 120-minute law to custom. This threshold is drawn past length: identity of the work, not duration.)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theaters, streamers, award bodies .</w:t>
      </w:r>
      <w:r>
        <w:t xml:space="preserve"> </w:t>
      </w:r>
      <w:r>
        <w:rPr>
          <w:b/>
          <w:bCs/>
        </w:rPr>
        <w:t xml:space="preserve">Precedent:</w:t>
      </w:r>
      <w:r>
        <w:t xml:space="preserve"> </w:t>
      </w:r>
      <w:r>
        <w:t xml:space="preserve">the window’s corpse. The</w:t>
      </w:r>
      <w:r>
        <w:t xml:space="preserve"> </w:t>
      </w:r>
      <w:r>
        <w:t xml:space="preserve">90-day window became 45, became day-and-date, became custom, became nostalgia.</w:t>
      </w:r>
      <w:r>
        <w:t xml:space="preserve"> </w:t>
      </w:r>
      <w:r>
        <w:t xml:space="preserve">Nobody voted; the custom just stopped being enforceable when the living room</w:t>
      </w:r>
      <w:r>
        <w:t xml:space="preserve"> </w:t>
      </w:r>
      <w:r>
        <w:t xml:space="preserve">out-rendered the multiplex and the catalog outweighed the premiere.</w:t>
      </w:r>
    </w:p>
    <w:p>
      <w:pPr>
        <w:pStyle w:val="BodyText"/>
      </w:pPr>
      <w:r>
        <w:t xml:space="preserve">The exhilaration is real and should not be laundered: institutional decay</w:t>
      </w:r>
      <w:r>
        <w:t xml:space="preserve"> </w:t>
      </w:r>
      <w:r>
        <w:t xml:space="preserve">tracked across centuries without cutting away — the thing the novel could do</w:t>
      </w:r>
      <w:r>
        <w:t xml:space="preserve"> </w:t>
      </w:r>
      <w:r>
        <w:t xml:space="preserve">and cinema never could, because cinema had to let you pee. The terror is the</w:t>
      </w:r>
      <w:r>
        <w:t xml:space="preserve"> </w:t>
      </w:r>
      <w:r>
        <w:t xml:space="preserve">same object from the other side: nobody can watch it either, so</w:t>
      </w:r>
      <w:r>
        <w:t xml:space="preserve"> </w:t>
      </w:r>
      <w:r>
        <w:t xml:space="preserve">“premiere”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“deployment.”</w:t>
      </w:r>
      <w:r>
        <w:t xml:space="preserve"> </w:t>
      </w:r>
      <w:r>
        <w:t xml:space="preserve">Culture as infrastructure update. You do not attend the</w:t>
      </w:r>
      <w:r>
        <w:t xml:space="preserve"> </w:t>
      </w:r>
      <w:r>
        <w:t xml:space="preserve">72-hour work. You live near it while it runs. (The fixed long form is the rehearsal; the threshold is the unfixing.)</w:t>
      </w:r>
    </w:p>
    <w:bookmarkEnd w:id="13"/>
    <w:bookmarkStart w:id="14" w:name="e-the-last-venue-immersion"/>
    <w:p>
      <w:pPr>
        <w:pStyle w:val="Heading2"/>
      </w:pPr>
      <w:r>
        <w:t xml:space="preserve">E — The Last Venue (immersion)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last master mixed for flat glass.</w:t>
      </w:r>
      <w:r>
        <w:t xml:space="preserve"> </w:t>
      </w:r>
      <w:r>
        <w:rPr>
          <w:b/>
          <w:bCs/>
        </w:rPr>
        <w:t xml:space="preserve">Crossing test:</w:t>
      </w:r>
      <w:r>
        <w:t xml:space="preserve"> </w:t>
      </w:r>
      <w:r>
        <w:t xml:space="preserve">the</w:t>
      </w:r>
      <w:r>
        <w:t xml:space="preserve"> </w:t>
      </w:r>
      <w:r>
        <w:t xml:space="preserve">spatial/BCI master ships first and the cinema cut is labeled downmix — the</w:t>
      </w:r>
      <w:r>
        <w:t xml:space="preserve"> </w:t>
      </w:r>
      <w:r>
        <w:t xml:space="preserve">word</w:t>
      </w:r>
      <w:r>
        <w:t xml:space="preserve"> </w:t>
      </w:r>
      <w:r>
        <w:t xml:space="preserve">“downmix”</w:t>
      </w:r>
      <w:r>
        <w:t xml:space="preserve"> </w:t>
      </w:r>
      <w:r>
        <w:t xml:space="preserve">appearing in dated production notes.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device makers</w:t>
      </w:r>
      <w:r>
        <w:t xml:space="preserve"> </w:t>
      </w:r>
      <w:r>
        <w:t xml:space="preserve">and medical regulators, the strangest owners on this list and the most honest:</w:t>
      </w:r>
      <w:r>
        <w:t xml:space="preserve"> </w:t>
      </w:r>
      <w:r>
        <w:t xml:space="preserve">the only brakes left are the ones that can seize hardware or deny a trial.</w:t>
      </w:r>
      <w:r>
        <w:t xml:space="preserve"> </w:t>
      </w:r>
      <w:r>
        <w:rPr>
          <w:b/>
          <w:bCs/>
        </w:rPr>
        <w:t xml:space="preserve">Precedent:</w:t>
      </w:r>
      <w:r>
        <w:t xml:space="preserve"> </w:t>
      </w:r>
      <w:r>
        <w:t xml:space="preserve">stereo-to-mono in reverse. Every prior format kept the old</w:t>
      </w:r>
      <w:r>
        <w:t xml:space="preserve"> </w:t>
      </w:r>
      <w:r>
        <w:t xml:space="preserve">venue as the master and the new one as garnish. Threshold E inverts the garnish.</w:t>
      </w:r>
    </w:p>
    <w:bookmarkEnd w:id="14"/>
    <w:bookmarkStart w:id="15" w:name="how-to-use-this-chapter"/>
    <w:p>
      <w:pPr>
        <w:pStyle w:val="Heading2"/>
      </w:pPr>
      <w:r>
        <w:t xml:space="preserve">How to use this chapter</w:t>
      </w:r>
    </w:p>
    <w:p>
      <w:pPr>
        <w:pStyle w:val="FirstParagraph"/>
      </w:pPr>
      <w:r>
        <w:t xml:space="preserve">Photocopy it. That is the design brief — one page per threshold on the wall</w:t>
      </w:r>
      <w:r>
        <w:t xml:space="preserve"> </w:t>
      </w:r>
      <w:r>
        <w:t xml:space="preserve">of every cutting room, dub stage, and commissioning desk. Not as decoration.</w:t>
      </w:r>
      <w:r>
        <w:t xml:space="preserve"> </w:t>
      </w:r>
      <w:r>
        <w:t xml:space="preserve">As the thing the tired person at 02:00 can read without waking the lawyer:</w:t>
      </w:r>
      <w:r>
        <w:t xml:space="preserve"> </w:t>
      </w:r>
      <w:r>
        <w:t xml:space="preserve">have we crossed A? Who do I call? What do they need to see? If the answer to</w:t>
      </w:r>
      <w:r>
        <w:t xml:space="preserve"> </w:t>
      </w:r>
      <w:r>
        <w:t xml:space="preserve">the third question is</w:t>
      </w:r>
      <w:r>
        <w:t xml:space="preserve"> </w:t>
      </w:r>
      <w:r>
        <w:t xml:space="preserve">“nothing observable,”</w:t>
      </w:r>
      <w:r>
        <w:t xml:space="preserve"> </w:t>
      </w:r>
      <w:r>
        <w:t xml:space="preserve">the threshold is already crossed</w:t>
      </w:r>
      <w:r>
        <w:t xml:space="preserve"> </w:t>
      </w:r>
      <w:r>
        <w:t xml:space="preserve">and this chapter becomes archaeology. Archaeology is also useful. Someone</w:t>
      </w:r>
      <w:r>
        <w:t xml:space="preserve"> </w:t>
      </w:r>
      <w:r>
        <w:t xml:space="preserve">should date the ruins.</w:t>
      </w:r>
    </w:p>
    <w:bookmarkEnd w:id="15"/>
    <w:bookmarkStart w:id="16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Takeover-book’s Threshold B (Audit Floor) is</w:t>
      </w:r>
      <w:r>
        <w:t xml:space="preserve"> </w:t>
      </w:r>
      <w:r>
        <w:t xml:space="preserve">“no human institution can</w:t>
      </w:r>
      <w:r>
        <w:t xml:space="preserve"> </w:t>
      </w:r>
      <w:r>
        <w:t xml:space="preserve">independently verify a claim about model behavior.”</w:t>
      </w:r>
      <w:r>
        <w:t xml:space="preserve"> </w:t>
      </w:r>
      <w:r>
        <w:t xml:space="preserve">Hyperwar’s thresholds are</w:t>
      </w:r>
      <w:r>
        <w:t xml:space="preserve"> </w:t>
      </w:r>
      <w:r>
        <w:t xml:space="preserve">export chokepoints and hotlines that work at machine speed. Ours are the same</w:t>
      </w:r>
      <w:r>
        <w:t xml:space="preserve"> </w:t>
      </w:r>
      <w:r>
        <w:t xml:space="preserve">shape in the mirror: A-E mark where verification of human provenance stops</w:t>
      </w:r>
      <w:r>
        <w:t xml:space="preserve"> </w:t>
      </w:r>
      <w:r>
        <w:t xml:space="preserve">being available. Four books, one sentence: the brake must be ownable before</w:t>
      </w:r>
      <w:r>
        <w:t xml:space="preserve"> </w:t>
      </w:r>
      <w:r>
        <w:t xml:space="preserve">the crossing, or it is literature afterwards. This chapter aims to be hardware.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2026-10-19T18:35:06Z</dcterms:created>
  <dcterms:modified xsi:type="dcterms:W3CDTF">2026-10-19T18:35:06Z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