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vii.-the-control-case-and-why-it-fails"/>
    <w:p>
      <w:pPr>
        <w:pStyle w:val="Heading1"/>
      </w:pPr>
      <w:r>
        <w:t xml:space="preserve">VII. The Control Case and Why It Fails</w:t>
      </w:r>
    </w:p>
    <w:bookmarkStart w:id="9" w:name="the-attempted-brakes-weak-ones-first"/>
    <w:p>
      <w:pPr>
        <w:pStyle w:val="Heading2"/>
      </w:pPr>
      <w:r>
        <w:t xml:space="preserve">The attempted brakes (weak ones first)</w:t>
      </w:r>
    </w:p>
    <w:p>
      <w:pPr>
        <w:pStyle w:val="FirstParagraph"/>
      </w:pPr>
      <w:r>
        <w:t xml:space="preserve">Three institutions stood up, each holding paperwork, each certain the paperwork</w:t>
      </w:r>
      <w:r>
        <w:t xml:space="preserve"> </w:t>
      </w:r>
      <w:r>
        <w:t xml:space="preserve">was load-bearing. Dated below where datable; construction where the cite</w:t>
      </w:r>
      <w:r>
        <w:t xml:space="preserve"> </w:t>
      </w:r>
      <w:r>
        <w:t xml:space="preserve">is still open.</w:t>
      </w:r>
    </w:p>
    <w:p>
      <w:pPr>
        <w:pStyle w:val="BodyText"/>
      </w:pPr>
      <w:r>
        <w:rPr>
          <w:b/>
          <w:bCs/>
        </w:rPr>
        <w:t xml:space="preserve">1. The copyright filter and the opt-out registry.</w:t>
      </w:r>
      <w:r>
        <w:t xml:space="preserve"> </w:t>
      </w:r>
      <w:r>
        <w:t xml:space="preserve">The claim: training</w:t>
      </w:r>
      <w:r>
        <w:t xml:space="preserve"> </w:t>
      </w:r>
      <w:r>
        <w:t xml:space="preserve">without consent is theft, the registry lets artists withdraw, the filter</w:t>
      </w:r>
      <w:r>
        <w:t xml:space="preserve"> </w:t>
      </w:r>
      <w:r>
        <w:t xml:space="preserve">keeps their style out of outputs. The mechanism: lists of names, hashes of</w:t>
      </w:r>
      <w:r>
        <w:t xml:space="preserve"> </w:t>
      </w:r>
      <w:r>
        <w:t xml:space="preserve">works, blocklists at prompt time. . The failure, stated without malice: style is not a file. You</w:t>
      </w:r>
      <w:r>
        <w:t xml:space="preserve"> </w:t>
      </w:r>
      <w:r>
        <w:t xml:space="preserve">can withhold the files and keep the distribution — the model learned</w:t>
      </w:r>
      <w:r>
        <w:t xml:space="preserve"> </w:t>
      </w:r>
      <w:r>
        <w:t xml:space="preserve">chiaroscuro from ten thousand painters, and removing forty of them changes</w:t>
      </w:r>
      <w:r>
        <w:t xml:space="preserve"> </w:t>
      </w:r>
      <w:r>
        <w:t xml:space="preserve">the mean by nothing. The registry protects the catalog while the latent keeps</w:t>
      </w:r>
      <w:r>
        <w:t xml:space="preserve"> </w:t>
      </w:r>
      <w:r>
        <w:t xml:space="preserve">the geometry. It is a lock on the library door after the books have been</w:t>
      </w:r>
      <w:r>
        <w:t xml:space="preserve"> </w:t>
      </w:r>
      <w:r>
        <w:t xml:space="preserve">memorized through the window.</w:t>
      </w:r>
    </w:p>
    <w:p>
      <w:pPr>
        <w:pStyle w:val="BodyText"/>
      </w:pPr>
      <w:r>
        <w:rPr>
          <w:b/>
          <w:bCs/>
        </w:rPr>
        <w:t xml:space="preserve">2. The provenance manifest and the invisible watermark.</w:t>
      </w:r>
      <w:r>
        <w:t xml:space="preserve"> </w:t>
      </w:r>
      <w:r>
        <w:t xml:space="preserve">Two different classes, different robustness — conflating them is how chapters like this lose technical readers. C2PA is a signed metadata manifest: this pixel was rendered here, by this pipeline, at this hour. Noble, brittle — stripped by the first recompression, which is to say, by Tuesday. Invisible watermarks (SynthID-class) embed in the signal itself and survive casual laundering; they fail differently, under dedicated removal, and they fail silently too. . The conclusion survives the split, narrowed: neither class fails loudly. A signal that cannot fail loudly is decoration — for the adversary. For the compliant middle, provenance still coordinates. The brake works on the willing and decorates the rest.</w:t>
      </w:r>
    </w:p>
    <w:p>
      <w:pPr>
        <w:pStyle w:val="BodyText"/>
      </w:pPr>
      <w:r>
        <w:rPr>
          <w:b/>
          <w:bCs/>
        </w:rPr>
        <w:t xml:space="preserve">3. The</w:t>
      </w:r>
      <w:r>
        <w:rPr>
          <w:b/>
          <w:bCs/>
        </w:rPr>
        <w:t xml:space="preserve"> </w:t>
      </w:r>
      <w:r>
        <w:rPr>
          <w:b/>
          <w:bCs/>
        </w:rPr>
        <w:t xml:space="preserve">“human-made”</w:t>
      </w:r>
      <w:r>
        <w:rPr>
          <w:b/>
          <w:bCs/>
        </w:rPr>
        <w:t xml:space="preserve"> </w:t>
      </w:r>
      <w:r>
        <w:rPr>
          <w:b/>
          <w:bCs/>
        </w:rPr>
        <w:t xml:space="preserve">certificate and the award category.</w:t>
      </w:r>
      <w:r>
        <w:t xml:space="preserve"> </w:t>
      </w:r>
      <w:r>
        <w:t xml:space="preserve">The most human of</w:t>
      </w:r>
      <w:r>
        <w:t xml:space="preserve"> </w:t>
      </w:r>
      <w:r>
        <w:t xml:space="preserve">the three, and the most circular: a stamp attesting that no machine was</w:t>
      </w:r>
      <w:r>
        <w:t xml:space="preserve"> </w:t>
      </w:r>
      <w:r>
        <w:t xml:space="preserve">involved, issued by an institution that cannot inspect the pipeline, verified</w:t>
      </w:r>
      <w:r>
        <w:t xml:space="preserve"> </w:t>
      </w:r>
      <w:r>
        <w:t xml:space="preserve">by attestation, enforced by trust. Parallel to hyperwar’s Chapter VII stated</w:t>
      </w:r>
      <w:r>
        <w:t xml:space="preserve"> </w:t>
      </w:r>
      <w:r>
        <w:t xml:space="preserve">flatly: certifications that certify paperwork. . The</w:t>
      </w:r>
      <w:r>
        <w:t xml:space="preserve"> </w:t>
      </w:r>
      <w:r>
        <w:t xml:space="preserve">ceremony holds until the first winner cannot produce the takes, and then it</w:t>
      </w:r>
      <w:r>
        <w:t xml:space="preserve"> </w:t>
      </w:r>
      <w:r>
        <w:t xml:space="preserve">holds anyway, because revoking the prize would require admitting the audit was</w:t>
      </w:r>
      <w:r>
        <w:t xml:space="preserve"> </w:t>
      </w:r>
      <w:r>
        <w:t xml:space="preserve">theater. Paperwork does not fail dramatically. It fails by continuing.</w:t>
      </w:r>
    </w:p>
    <w:bookmarkEnd w:id="9"/>
    <w:bookmarkStart w:id="10" w:name="the-stronger-brakes-faced-not-dodged"/>
    <w:p>
      <w:pPr>
        <w:pStyle w:val="Heading2"/>
      </w:pPr>
      <w:r>
        <w:t xml:space="preserve">The stronger brakes (faced, not dodged)</w:t>
      </w:r>
    </w:p>
    <w:p>
      <w:pPr>
        <w:pStyle w:val="FirstParagraph"/>
      </w:pPr>
      <w:r>
        <w:t xml:space="preserve">The three above are the weakest brakes, chosen early. Here are the strong ones, steelmanned before anything is claimed about them.</w:t>
      </w:r>
    </w:p>
    <w:p>
      <w:pPr>
        <w:pStyle w:val="BodyText"/>
      </w:pPr>
      <w:r>
        <w:rPr>
          <w:b/>
          <w:bCs/>
        </w:rPr>
        <w:t xml:space="preserve">4. Copyrightability.</w:t>
      </w:r>
      <w:r>
        <w:t xml:space="preserve"> </w:t>
      </w:r>
      <w:r>
        <w:rPr>
          <w:i/>
          <w:iCs/>
        </w:rPr>
        <w:t xml:space="preserve">Thaler v. Perlmutter</w:t>
      </w:r>
      <w:r>
        <w:t xml:space="preserve">, D.C. Cir., 18 March 2025: human authorship required; purely AI-generated work is not registrable</w:t>
      </w:r>
      <w:r>
        <w:t xml:space="preserve"> </w:t>
      </w:r>
      <w:r>
        <w:rPr>
          <w:rStyle w:val="VerbatimChar"/>
        </w:rPr>
        <w:t xml:space="preserve">[web-verified per Opus review 2026-10-11; opinion pending]</w:t>
      </w:r>
      <w:r>
        <w:t xml:space="preserve">; the US Copyright Office’s 2025 report extends the point to AI-assisted work without sufficient human control . This is probably the strongest brake on Thresholds B and C, and the discrete-vs-continuous argument below does not defeat it — conceded outright — because copyrightability attaches to the</w:t>
      </w:r>
      <w:r>
        <w:t xml:space="preserve"> </w:t>
      </w:r>
      <w:r>
        <w:rPr>
          <w:i/>
          <w:iCs/>
        </w:rPr>
        <w:t xml:space="preserve">producer’s process</w:t>
      </w:r>
      <w:r>
        <w:t xml:space="preserve">, not to output resemblance. A studio that cannot own its frames or its lead face cannot license them, so it keeps humans in the loop for IP reasons whatever the cost curve says. The brake that works is not the one that stops synthesis. It is the one that starves it of ownership.</w:t>
      </w:r>
    </w:p>
    <w:p>
      <w:pPr>
        <w:pStyle w:val="BodyText"/>
      </w:pPr>
      <w:r>
        <w:rPr>
          <w:b/>
          <w:bCs/>
        </w:rPr>
        <w:t xml:space="preserve">5. Union contracts.</w:t>
      </w:r>
      <w:r>
        <w:t xml:space="preserve"> </w:t>
      </w:r>
      <w:r>
        <w:t xml:space="preserve">WGA MBA (Sept 2023), SAG-AFTRA TV/Theatrical (ratified Dec 2023), the 2024–2025 video-game strike over AI voice , SAG-AFTRA’s 30 Sept 2025 statement on Tilly Norwood reminding signatories that synthetic performers require notice and bargaining</w:t>
      </w:r>
      <w:r>
        <w:t xml:space="preserve"> </w:t>
      </w:r>
      <w:r>
        <w:rPr>
          <w:rStyle w:val="VerbatimChar"/>
        </w:rPr>
        <w:t xml:space="preserve">[web-verified per Opus review; statement pending]</w:t>
      </w:r>
      <w:r>
        <w:t xml:space="preserve">. Owned, enforceable, dated — exactly the</w:t>
      </w:r>
      <w:r>
        <w:t xml:space="preserve"> </w:t>
      </w:r>
      <w:r>
        <w:t xml:space="preserve">“threshold with an owner”</w:t>
      </w:r>
      <w:r>
        <w:t xml:space="preserve"> </w:t>
      </w:r>
      <w:r>
        <w:t xml:space="preserve">Chapter VI asks for. The crossing tests for A’ and C gain a second witness: not just the session file, but the bargaining unit. (The EU/DACH angle — EU AI Act Art. 50, GEMA litigation, ver.di and Equity positions — is the next paragraph construction; a Vienna-based book has no excuse for an American-only brake list.)</w:t>
      </w:r>
    </w:p>
    <w:p>
      <w:pPr>
        <w:pStyle w:val="BodyText"/>
      </w:pPr>
      <w:r>
        <w:rPr>
          <w:b/>
          <w:bCs/>
        </w:rPr>
        <w:t xml:space="preserve">6. Licensing mutation.</w:t>
      </w:r>
      <w:r>
        <w:t xml:space="preserve"> </w:t>
      </w:r>
      <w:r>
        <w:t xml:space="preserve">UMG-Udio (2025), WMG-Suno (25 Nov 2025), WMG-Udio; Suno to licensed models in 2026; UMG/Sony v. Suno at impasse as of April 2026</w:t>
      </w:r>
      <w:r>
        <w:t xml:space="preserve"> </w:t>
      </w:r>
      <w:r>
        <w:rPr>
          <w:rStyle w:val="VerbatimChar"/>
        </w:rPr>
        <w:t xml:space="preserve">[web-verified per Opus review; primaries pending]</w:t>
      </w:r>
      <w:r>
        <w:t xml:space="preserve">. The control case is mutating from prohibition to licensing — a price mechanism (L3), not a ban. More interesting than</w:t>
      </w:r>
      <w:r>
        <w:t xml:space="preserve"> </w:t>
      </w:r>
      <w:r>
        <w:t xml:space="preserve">“the filter leaks,”</w:t>
      </w:r>
      <w:r>
        <w:t xml:space="preserve"> </w:t>
      </w:r>
      <w:r>
        <w:t xml:space="preserve">and more honest: the brake works, and what it protects is the catalog owner’s price, not the artist’s hand. Watch this space the way Chapter V watches everything: dated rows or it didn’t happen.</w:t>
      </w:r>
    </w:p>
    <w:bookmarkEnd w:id="10"/>
    <w:bookmarkStart w:id="11" w:name="why-paperwork-doesnt-bind-latent-space"/>
    <w:p>
      <w:pPr>
        <w:pStyle w:val="Heading2"/>
      </w:pPr>
      <w:r>
        <w:t xml:space="preserve">Why paperwork doesn’t bind latent space</w:t>
      </w:r>
    </w:p>
    <w:p>
      <w:pPr>
        <w:pStyle w:val="FirstParagraph"/>
      </w:pPr>
      <w:r>
        <w:t xml:space="preserve">The deep reason, one paragraph, no mercy: law and certification are discrete</w:t>
      </w:r>
      <w:r>
        <w:t xml:space="preserve"> </w:t>
      </w:r>
      <w:r>
        <w:t xml:space="preserve">systems — named persons, listed works, binary flags — while synthesis is</w:t>
      </w:r>
      <w:r>
        <w:t xml:space="preserve"> </w:t>
      </w:r>
      <w:r>
        <w:t xml:space="preserve">continuous. The deniable archetype walk from Chapter VI is the whole argument</w:t>
      </w:r>
      <w:r>
        <w:t xml:space="preserve"> </w:t>
      </w:r>
      <w:r>
        <w:t xml:space="preserve">in one image. Start at a famous jaw. Take seventeen steps in latent space,</w:t>
      </w:r>
      <w:r>
        <w:t xml:space="preserve"> </w:t>
      </w:r>
      <w:r>
        <w:t xml:space="preserve">each too small to name. Arrive at a face the audience reads as star-grade</w:t>
      </w:r>
      <w:r>
        <w:t xml:space="preserve"> </w:t>
      </w:r>
      <w:r>
        <w:t xml:space="preserve">and the lawyer reads as no one. No step crossed a line because the lines are</w:t>
      </w:r>
      <w:r>
        <w:t xml:space="preserve"> </w:t>
      </w:r>
      <w:r>
        <w:t xml:space="preserve">points and the walk is a curve. Every filter that checks points lets curves</w:t>
      </w:r>
      <w:r>
        <w:t xml:space="preserve"> </w:t>
      </w:r>
      <w:r>
        <w:t xml:space="preserve">through. Every registry of islands ignores the sea.</w:t>
      </w:r>
    </w:p>
    <w:p>
      <w:pPr>
        <w:pStyle w:val="BodyText"/>
      </w:pPr>
      <w:r>
        <w:t xml:space="preserve">This is not an argument against trying. Thresholds A-E are worth owning even</w:t>
      </w:r>
      <w:r>
        <w:t xml:space="preserve"> </w:t>
      </w:r>
      <w:r>
        <w:t xml:space="preserve">losing — the attempt creates the logbook, the logbook creates the date, the</w:t>
      </w:r>
      <w:r>
        <w:t xml:space="preserve"> </w:t>
      </w:r>
      <w:r>
        <w:t xml:space="preserve">date creates the politics. It is an argument against surprise. Anyone who</w:t>
      </w:r>
      <w:r>
        <w:t xml:space="preserve"> </w:t>
      </w:r>
      <w:r>
        <w:t xml:space="preserve">promises you the filter holds, the watermark sticks, the certificate means it</w:t>
      </w:r>
      <w:r>
        <w:t xml:space="preserve"> </w:t>
      </w:r>
      <w:r>
        <w:t xml:space="preserve">— ask them for the crossing test from Chapter VI. Ask what the tired person at</w:t>
      </w:r>
      <w:r>
        <w:t xml:space="preserve"> </w:t>
      </w:r>
      <w:r>
        <w:t xml:space="preserve">02:00 sees. If the answer is a dashboard that is green by default, you are</w:t>
      </w:r>
      <w:r>
        <w:t xml:space="preserve"> </w:t>
      </w:r>
      <w:r>
        <w:t xml:space="preserve">looking at the Audit Floor’s aesthetic twin already crossed, with the green light</w:t>
      </w:r>
      <w:r>
        <w:t xml:space="preserve"> </w:t>
      </w:r>
      <w:r>
        <w:t xml:space="preserve">still on.</w:t>
      </w:r>
    </w:p>
    <w:bookmarkEnd w:id="11"/>
    <w:bookmarkStart w:id="12" w:name="fleet-link"/>
    <w:p>
      <w:pPr>
        <w:pStyle w:val="Heading2"/>
      </w:pPr>
      <w:r>
        <w:t xml:space="preserve">Fleet link</w:t>
      </w:r>
    </w:p>
    <w:p>
      <w:pPr>
        <w:pStyle w:val="FirstParagraph"/>
      </w:pPr>
      <w:r>
        <w:t xml:space="preserve">Hyperwar’s control case fails the same way: approval gates that approve the</w:t>
      </w:r>
      <w:r>
        <w:t xml:space="preserve"> </w:t>
      </w:r>
      <w:r>
        <w:t xml:space="preserve">paperwork about the strike, export regimes that track the catalog while the</w:t>
      </w:r>
      <w:r>
        <w:t xml:space="preserve"> </w:t>
      </w:r>
      <w:r>
        <w:t xml:space="preserve">components ship as toys. Takeover-book’s safety cases fail as attestations no</w:t>
      </w:r>
      <w:r>
        <w:t xml:space="preserve"> </w:t>
      </w:r>
      <w:r>
        <w:t xml:space="preserve">outsider can verify. Three domains, one sentence: the brake that cannot be</w:t>
      </w:r>
      <w:r>
        <w:t xml:space="preserve"> </w:t>
      </w:r>
      <w:r>
        <w:t xml:space="preserve">observed by its rival is a ritual. Rituals have value — they coordinate the</w:t>
      </w:r>
      <w:r>
        <w:t xml:space="preserve"> </w:t>
      </w:r>
      <w:r>
        <w:t xml:space="preserve">faithful. They do not stop the sea.</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2026-10-19T18:35:06Z</dcterms:created>
  <dcterms:modified xsi:type="dcterms:W3CDTF">2026-10-19T18:35:06Z</dcterms:modified>
</cp:coreProperties>
</file>

<file path=docProps/custom.xml><?xml version="1.0" encoding="utf-8"?>
<Properties xmlns="http://schemas.openxmlformats.org/officeDocument/2006/custom-properties" xmlns:vt="http://schemas.openxmlformats.org/officeDocument/2006/docPropsVTypes"/>
</file>