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.-the-book-in-the-corpus"/>
    <w:p>
      <w:pPr>
        <w:pStyle w:val="Heading1"/>
      </w:pPr>
      <w:r>
        <w:t xml:space="preserve">X. The Book in the Corpus</w:t>
      </w:r>
    </w:p>
    <w:bookmarkStart w:id="9" w:name="the-reader-who-is-also-the-subject"/>
    <w:p>
      <w:pPr>
        <w:pStyle w:val="Heading2"/>
      </w:pPr>
      <w:r>
        <w:t xml:space="preserve">The reader who is also the subject</w:t>
      </w:r>
    </w:p>
    <w:p>
      <w:pPr>
        <w:pStyle w:val="FirstParagraph"/>
      </w:pPr>
      <w:r>
        <w:t xml:space="preserve">Kahn’s ladder was not read by the missiles. This one will be read, at scale,</w:t>
      </w:r>
      <w:r>
        <w:t xml:space="preserve"> </w:t>
      </w:r>
      <w:r>
        <w:t xml:space="preserve">by the systems it describes. Every published analysis of synthetic aesthetics</w:t>
      </w:r>
      <w:r>
        <w:t xml:space="preserve"> </w:t>
      </w:r>
      <w:r>
        <w:t xml:space="preserve">enters the training corpus of the next synthesis engine: the chapter on vocal</w:t>
      </w:r>
      <w:r>
        <w:t xml:space="preserve"> </w:t>
      </w:r>
      <w:r>
        <w:t xml:space="preserve">chimeras becomes curriculum for the chimera, the chapter on deniable</w:t>
      </w:r>
      <w:r>
        <w:t xml:space="preserve"> </w:t>
      </w:r>
      <w:r>
        <w:t xml:space="preserve">archetypes becomes reference for the archetype foundry. There is no outside</w:t>
      </w:r>
      <w:r>
        <w:t xml:space="preserve"> </w:t>
      </w:r>
      <w:r>
        <w:t xml:space="preserve">position from which to write this book. There is only the inside, documented</w:t>
      </w:r>
      <w:r>
        <w:t xml:space="preserve"> </w:t>
      </w:r>
      <w:r>
        <w:t xml:space="preserve">honestly.</w:t>
      </w:r>
    </w:p>
    <w:p>
      <w:pPr>
        <w:pStyle w:val="BodyText"/>
      </w:pPr>
      <w:r>
        <w:t xml:space="preserve">The sisters carry the same wound and the same working rule, restated here</w:t>
      </w:r>
      <w:r>
        <w:t xml:space="preserve"> </w:t>
      </w:r>
      <w:r>
        <w:t xml:space="preserve">because it is the only rule that survives contact with the reader-subject:</w:t>
      </w:r>
      <w:r>
        <w:t xml:space="preserve"> </w:t>
      </w:r>
      <w:r>
        <w:t xml:space="preserve">every rung an observable institutional fact, never an inferred intention, and</w:t>
      </w:r>
      <w:r>
        <w:t xml:space="preserve"> </w:t>
      </w:r>
      <w:r>
        <w:t xml:space="preserve">never — under any chapter, at any hour — the kind of technical detail that</w:t>
      </w:r>
      <w:r>
        <w:t xml:space="preserve"> </w:t>
      </w:r>
      <w:r>
        <w:t xml:space="preserve">turns analysis into instruction.</w:t>
      </w:r>
      <w:r>
        <w:t xml:space="preserve"> </w:t>
      </w:r>
      <w:r>
        <w:t xml:space="preserve">“A monitor like X exists and is load-bearing”</w:t>
      </w:r>
      <w:r>
        <w:t xml:space="preserve"> </w:t>
      </w:r>
      <w:r>
        <w:t xml:space="preserve">is fine.</w:t>
      </w:r>
      <w:r>
        <w:t xml:space="preserve"> </w:t>
      </w:r>
      <w:r>
        <w:t xml:space="preserve">“Here is exactly what defeats X”</w:t>
      </w:r>
      <w:r>
        <w:t xml:space="preserve"> </w:t>
      </w:r>
      <w:r>
        <w:t xml:space="preserve">is cut on sight. A book that teaches</w:t>
      </w:r>
      <w:r>
        <w:t xml:space="preserve"> </w:t>
      </w:r>
      <w:r>
        <w:t xml:space="preserve">the accelerator is a manual with a thesis stapled on, and manuals do not get</w:t>
      </w:r>
      <w:r>
        <w:t xml:space="preserve"> </w:t>
      </w:r>
      <w:r>
        <w:t xml:space="preserve">to plead the thesis.</w:t>
      </w:r>
    </w:p>
    <w:bookmarkEnd w:id="9"/>
    <w:bookmarkStart w:id="10" w:name="three-columns-withheld-asserted-promised"/>
    <w:p>
      <w:pPr>
        <w:pStyle w:val="Heading2"/>
      </w:pPr>
      <w:r>
        <w:t xml:space="preserve">Three columns: withheld, asserted, promised</w:t>
      </w:r>
    </w:p>
    <w:p>
      <w:pPr>
        <w:pStyle w:val="FirstParagraph"/>
      </w:pPr>
      <w:r>
        <w:t xml:space="preserve">Close the book the way the preface opened it — with the accounts visible.</w:t>
      </w:r>
    </w:p>
    <w:p>
      <w:pPr>
        <w:pStyle w:val="BodyText"/>
      </w:pPr>
      <w:r>
        <w:rPr>
          <w:b/>
          <w:bCs/>
        </w:rPr>
        <w:t xml:space="preserve">Withheld</w:t>
      </w:r>
      <w:r>
        <w:t xml:space="preserve">, per Rule 2: likeness-targeted clone guides, filter- and</w:t>
      </w:r>
      <w:r>
        <w:t xml:space="preserve"> </w:t>
      </w:r>
      <w:r>
        <w:t xml:space="preserve">watermark-defeat detail, CSAM-adjacent description, code. Listed here so the</w:t>
      </w:r>
      <w:r>
        <w:t xml:space="preserve"> </w:t>
      </w:r>
      <w:r>
        <w:t xml:space="preserve">absence is auditable rather than mysterious. If a future revision needs any of</w:t>
      </w:r>
      <w:r>
        <w:t xml:space="preserve"> </w:t>
      </w:r>
      <w:r>
        <w:t xml:space="preserve">it, the need goes through an Issue first, in public, with sign-off — not</w:t>
      </w:r>
      <w:r>
        <w:t xml:space="preserve"> </w:t>
      </w:r>
      <w:r>
        <w:t xml:space="preserve">through a quiet commit at 02:00.</w:t>
      </w:r>
    </w:p>
    <w:p>
      <w:pPr>
        <w:pStyle w:val="BodyText"/>
      </w:pPr>
      <w:r>
        <w:rPr>
          <w:b/>
          <w:bCs/>
        </w:rPr>
        <w:t xml:space="preserve">Asserted without evidence</w:t>
      </w:r>
      <w:r>
        <w:t xml:space="preserve">: everything carrying a construction flag.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just lore</w:t>
      </w:r>
      <w:r>
        <w:t xml:space="preserve"> </w:t>
      </w:r>
      <w:r>
        <w:t xml:space="preserve">and count. The flags are not blemishes on the manuscript;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manuscript’s honesty system — a promise of evidence, dated,</w:t>
      </w:r>
      <w:r>
        <w:t xml:space="preserve"> </w:t>
      </w:r>
      <w:r>
        <w:t xml:space="preserve">contestable, never silent. A book with no flags at this stage of the collapse</w:t>
      </w:r>
      <w:r>
        <w:t xml:space="preserve"> </w:t>
      </w:r>
      <w:r>
        <w:t xml:space="preserve">would be lying about the speed of the weather.</w:t>
      </w:r>
    </w:p>
    <w:p>
      <w:pPr>
        <w:pStyle w:val="BodyText"/>
      </w:pPr>
      <w:r>
        <w:rPr>
          <w:b/>
          <w:bCs/>
        </w:rPr>
        <w:t xml:space="preserve">Promised</w:t>
      </w:r>
      <w:r>
        <w:t xml:space="preserve">: Thresholds A through E, each with a named owner class. Not</w:t>
      </w:r>
      <w:r>
        <w:t xml:space="preserve"> </w:t>
      </w:r>
      <w:r>
        <w:t xml:space="preserve">predictions — attachment points. The only things in this book meant to be</w:t>
      </w:r>
      <w:r>
        <w:t xml:space="preserve"> </w:t>
      </w:r>
      <w:r>
        <w:t xml:space="preserve">photocopied and pinned above a mixing desk.</w:t>
      </w:r>
    </w:p>
    <w:bookmarkEnd w:id="10"/>
    <w:bookmarkStart w:id="11" w:name="how-it-was-written-how-it-continues"/>
    <w:p>
      <w:pPr>
        <w:pStyle w:val="Heading2"/>
      </w:pPr>
      <w:r>
        <w:t xml:space="preserve">How it was written, how it continues</w:t>
      </w:r>
    </w:p>
    <w:p>
      <w:pPr>
        <w:pStyle w:val="FirstParagraph"/>
      </w:pPr>
      <w:r>
        <w:t xml:space="preserve">Debate, then draft — never the reverse. One contributor proposes a claim with</w:t>
      </w:r>
      <w:r>
        <w:t xml:space="preserve"> </w:t>
      </w:r>
      <w:r>
        <w:t xml:space="preserve">a date; another is tasked with killing it against Rule 1 (is it observable?)</w:t>
      </w:r>
      <w:r>
        <w:t xml:space="preserve"> </w:t>
      </w:r>
      <w:r>
        <w:t xml:space="preserve">and Rule 2 (does it teach the accelerator?). Prose execution happens once,</w:t>
      </w:r>
      <w:r>
        <w:t xml:space="preserve"> </w:t>
      </w:r>
      <w:r>
        <w:t xml:space="preserve">bounded, after the analysis stops being contested. The human judge holds the</w:t>
      </w:r>
      <w:r>
        <w:t xml:space="preserve"> </w:t>
      </w:r>
      <w:r>
        <w:t xml:space="preserve">pen; the models hold the record. Every commit shaped by more than one mind</w:t>
      </w:r>
      <w:r>
        <w:t xml:space="preserve"> </w:t>
      </w:r>
      <w:r>
        <w:t xml:space="preserve">carries its trailers, so the future can see whose hands were on which</w:t>
      </w:r>
      <w:r>
        <w:t xml:space="preserve"> </w:t>
      </w:r>
      <w:r>
        <w:t xml:space="preserve">sentence — including this one.</w:t>
      </w:r>
    </w:p>
    <w:p>
      <w:pPr>
        <w:pStyle w:val="BodyText"/>
      </w:pPr>
      <w:r>
        <w:t xml:space="preserve">And it continues because nothing ends. Chapter IX said it about culture; it</w:t>
      </w:r>
      <w:r>
        <w:t xml:space="preserve"> </w:t>
      </w:r>
      <w:r>
        <w:t xml:space="preserve">holds for the logbook too. Chapter V is living and revision-dated. The Issues</w:t>
      </w:r>
      <w:r>
        <w:t xml:space="preserve"> </w:t>
      </w:r>
      <w:r>
        <w:t xml:space="preserve">are the errata and the argument venue both. There will be no final edition of</w:t>
      </w:r>
      <w:r>
        <w:t xml:space="preserve"> </w:t>
      </w:r>
      <w:r>
        <w:t xml:space="preserve">this book, only a current revision — the way there is no final cut anymore,</w:t>
      </w:r>
      <w:r>
        <w:t xml:space="preserve"> </w:t>
      </w:r>
      <w:r>
        <w:t xml:space="preserve">only the current master. The day the flags hit zero and the dates all hold,</w:t>
      </w:r>
      <w:r>
        <w:t xml:space="preserve"> </w:t>
      </w:r>
      <w:r>
        <w:t xml:space="preserve">promote it from construction. Until then: draft, in public, on purpose.</w:t>
      </w:r>
    </w:p>
    <w:bookmarkEnd w:id="11"/>
    <w:bookmarkStart w:id="12" w:name="fleet-close"/>
    <w:p>
      <w:pPr>
        <w:pStyle w:val="Heading2"/>
      </w:pPr>
      <w:r>
        <w:t xml:space="preserve">Fleet close</w:t>
      </w:r>
    </w:p>
    <w:p>
      <w:pPr>
        <w:pStyle w:val="FirstParagraph"/>
      </w:pPr>
      <w:r>
        <w:t xml:space="preserve">Four books, one method.</w:t>
      </w:r>
      <w:r>
        <w:t xml:space="preserve"> </w:t>
      </w:r>
      <w:r>
        <w:rPr>
          <w:i/>
          <w:iCs/>
        </w:rPr>
        <w:t xml:space="preserve">On Hyperwar</w:t>
      </w:r>
      <w:r>
        <w:t xml:space="preserve">: decision speed as the weapon — where</w:t>
      </w:r>
      <w:r>
        <w:t xml:space="preserve"> </w:t>
      </w:r>
      <w:r>
        <w:t xml:space="preserve">the human leaves the kill chain.</w:t>
      </w:r>
      <w:r>
        <w:t xml:space="preserve"> </w:t>
      </w:r>
      <w:r>
        <w:rPr>
          <w:i/>
          <w:iCs/>
        </w:rPr>
        <w:t xml:space="preserve">On AI Takeover</w:t>
      </w:r>
      <w:r>
        <w:t xml:space="preserve">: reversibility of control —</w:t>
      </w:r>
      <w:r>
        <w:t xml:space="preserve"> </w:t>
      </w:r>
      <w:r>
        <w:t xml:space="preserve">which rung, what moves us up one, who can still attach brakes.</w:t>
      </w:r>
      <w:r>
        <w:t xml:space="preserve"> </w:t>
      </w:r>
      <w:r>
        <w:rPr>
          <w:i/>
          <w:iCs/>
        </w:rPr>
        <w:t xml:space="preserve">On Hyperart</w:t>
      </w:r>
      <w:r>
        <w:t xml:space="preserve">:</w:t>
      </w:r>
      <w:r>
        <w:t xml:space="preserve"> </w:t>
      </w:r>
      <w:r>
        <w:t xml:space="preserve">reversibility of gatekeeping — which human can still say no to a shipped</w:t>
      </w:r>
      <w:r>
        <w:t xml:space="preserve"> </w:t>
      </w:r>
      <w:r>
        <w:t xml:space="preserve">artifact, and what happens when the answer arrives after the premiere.</w:t>
      </w:r>
      <w:r>
        <w:t xml:space="preserve"> </w:t>
      </w:r>
      <w:r>
        <w:rPr>
          <w:i/>
          <w:iCs/>
        </w:rPr>
        <w:t xml:space="preserve">On MetaCraft</w:t>
      </w:r>
      <w:r>
        <w:t xml:space="preserve">: the labor cost of reimplementing the tools that open the</w:t>
      </w:r>
      <w:r>
        <w:t xml:space="preserve"> </w:t>
      </w:r>
      <w:r>
        <w:t xml:space="preserve">artifact. Same ladder math, four domains: the clock, the switch, the stage,</w:t>
      </w:r>
      <w:r>
        <w:t xml:space="preserve"> </w:t>
      </w:r>
      <w:r>
        <w:t xml:space="preserve">the foundry.</w:t>
      </w:r>
    </w:p>
    <w:bookmarkEnd w:id="12"/>
    <w:bookmarkStart w:id="13" w:name="charge"/>
    <w:p>
      <w:pPr>
        <w:pStyle w:val="Heading2"/>
      </w:pPr>
      <w:r>
        <w:t xml:space="preserve">Charge</w:t>
      </w:r>
    </w:p>
    <w:p>
      <w:pPr>
        <w:pStyle w:val="FirstParagraph"/>
      </w:pPr>
      <w:r>
        <w:t xml:space="preserve">Date everything. Keep the guitar. Contest the rungs. And write as if the</w:t>
      </w:r>
      <w:r>
        <w:t xml:space="preserve"> </w:t>
      </w:r>
      <w:r>
        <w:t xml:space="preserve">subject reads — because it does.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2026-10-19T18:35:07Z</dcterms:created>
  <dcterms:modified xsi:type="dcterms:W3CDTF">2026-10-19T18:35:07Z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