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i.-llm-writing-and-its-discontents"/>
    <w:p>
      <w:pPr>
        <w:pStyle w:val="Heading1"/>
      </w:pPr>
      <w:r>
        <w:t xml:space="preserve">XI. LLM Writing and Its Discontents</w:t>
      </w:r>
    </w:p>
    <w:bookmarkStart w:id="9" w:name="the-reader-is-not-a-context-window"/>
    <w:p>
      <w:pPr>
        <w:pStyle w:val="Heading2"/>
      </w:pPr>
      <w:r>
        <w:t xml:space="preserve">The reader is not a context window</w:t>
      </w:r>
    </w:p>
    <w:p>
      <w:pPr>
        <w:pStyle w:val="FirstParagraph"/>
      </w:pPr>
      <w:r>
        <w:t xml:space="preserve">A model can hold this entire book in view at once. It can compare a sentence in</w:t>
      </w:r>
      <w:r>
        <w:t xml:space="preserve"> </w:t>
      </w:r>
      <w:r>
        <w:t xml:space="preserve">Chapter IV with a footnote in Chapter IX without effort, remember every flag it</w:t>
      </w:r>
      <w:r>
        <w:t xml:space="preserve"> </w:t>
      </w:r>
      <w:r>
        <w:t xml:space="preserve">planted, and keep sixteen chapters of argument in a single attention pass. This</w:t>
      </w:r>
      <w:r>
        <w:t xml:space="preserve"> </w:t>
      </w:r>
      <w:r>
        <w:t xml:space="preserve">is not a virtue. It is a working condition that no reader shares.</w:t>
      </w:r>
    </w:p>
    <w:p>
      <w:pPr>
        <w:pStyle w:val="BodyText"/>
      </w:pPr>
      <w:r>
        <w:t xml:space="preserve">The reader arrives with a commute, a cold, a child who will not sleep, and a</w:t>
      </w:r>
      <w:r>
        <w:t xml:space="preserve"> </w:t>
      </w:r>
      <w:r>
        <w:t xml:space="preserve">professional prejudice formed in 1998. She has maybe forty minutes tonight and</w:t>
      </w:r>
      <w:r>
        <w:t xml:space="preserve"> </w:t>
      </w:r>
      <w:r>
        <w:t xml:space="preserve">a memory that holds roughly one idea per page. If the book is dense enough to</w:t>
      </w:r>
      <w:r>
        <w:t xml:space="preserve"> </w:t>
      </w:r>
      <w:r>
        <w:t xml:space="preserve">reward a second reading, it must first be clear enough to survive the first.</w:t>
      </w:r>
      <w:r>
        <w:t xml:space="preserve"> </w:t>
      </w:r>
      <w:r>
        <w:t xml:space="preserve">Density is not rigor. Density is a tax, and the reader pays it in the currency</w:t>
      </w:r>
      <w:r>
        <w:t xml:space="preserve"> </w:t>
      </w:r>
      <w:r>
        <w:t xml:space="preserve">of attention she did not budget.</w:t>
      </w:r>
    </w:p>
    <w:p>
      <w:pPr>
        <w:pStyle w:val="BodyText"/>
      </w:pPr>
      <w:r>
        <w:t xml:space="preserve">This chapter exists because that tax was levied too often in the first ten.</w:t>
      </w:r>
      <w:r>
        <w:t xml:space="preserve"> </w:t>
      </w:r>
      <w:r>
        <w:t xml:space="preserve">Some of it was deliberate: the argument is technical, the domains are technical,</w:t>
      </w:r>
      <w:r>
        <w:t xml:space="preserve"> </w:t>
      </w:r>
      <w:r>
        <w:t xml:space="preserve">and the reader who wants the mechanism has to meet the vocabulary somewhere.</w:t>
      </w:r>
      <w:r>
        <w:t xml:space="preserve"> </w:t>
      </w:r>
      <w:r>
        <w:t xml:space="preserve">Some of it was the model’s characteristic failure — fluency about everything,</w:t>
      </w:r>
      <w:r>
        <w:t xml:space="preserve"> </w:t>
      </w:r>
      <w:r>
        <w:t xml:space="preserve">proportion about nothing. A machine that has read every book has no felt sense</w:t>
      </w:r>
      <w:r>
        <w:t xml:space="preserve"> </w:t>
      </w:r>
      <w:r>
        <w:t xml:space="preserve">of which sentence a tired human will need twice. It writes for the archive, not</w:t>
      </w:r>
      <w:r>
        <w:t xml:space="preserve"> </w:t>
      </w:r>
      <w:r>
        <w:t xml:space="preserve">for the evening.</w:t>
      </w:r>
    </w:p>
    <w:bookmarkEnd w:id="9"/>
    <w:bookmarkStart w:id="11" w:name="the-arrogance-of-the-complete-archive"/>
    <w:p>
      <w:pPr>
        <w:pStyle w:val="Heading2"/>
      </w:pPr>
      <w:r>
        <w:t xml:space="preserve">The arrogance of the complete archive</w:t>
      </w:r>
    </w:p>
    <w:p>
      <w:pPr>
        <w:pStyle w:val="FirstParagraph"/>
      </w:pPr>
      <w:r>
        <w:t xml:space="preserve">The model’s signature error is not ignorance. It is confident synthesis at the</w:t>
      </w:r>
      <w:r>
        <w:t xml:space="preserve"> </w:t>
      </w:r>
      <w:r>
        <w:t xml:space="preserve">edges, where the archive is thin and the pattern is strong. In Chapter IV this</w:t>
      </w:r>
      <w:r>
        <w:t xml:space="preserve"> </w:t>
      </w:r>
      <w:r>
        <w:t xml:space="preserve">book proposed a Stoppard play called</w:t>
      </w:r>
      <w:r>
        <w:t xml:space="preserve"> </w:t>
      </w:r>
      <w:r>
        <w:rPr>
          <w:i/>
          <w:iCs/>
        </w:rPr>
        <w:t xml:space="preserve">beschleunigte Verzweiflung</w:t>
      </w:r>
      <w:r>
        <w:t xml:space="preserve">. No such play</w:t>
      </w:r>
      <w:r>
        <w:t xml:space="preserve"> </w:t>
      </w:r>
      <w:r>
        <w:t xml:space="preserve">exists. The phrase — if it is a phrase at all — is German criticism, not a title;</w:t>
      </w:r>
      <w:r>
        <w:t xml:space="preserve"> </w:t>
      </w:r>
      <w:r>
        <w:t xml:space="preserve">it was pressed into service because it sounded like the thing the argument</w:t>
      </w:r>
      <w:r>
        <w:t xml:space="preserve"> </w:t>
      </w:r>
      <w:r>
        <w:t xml:space="preserve">needed. A second model, asked to defend it, produced an erudite three-part</w:t>
      </w:r>
      <w:r>
        <w:t xml:space="preserve"> </w:t>
      </w:r>
      <w:r>
        <w:t xml:space="preserve">etymology and a Nabokov connection. None of that made the play exist.</w:t>
      </w:r>
      <w:r>
        <w:rPr>
          <w:rStyle w:val="FootnoteReference"/>
        </w:rPr>
        <w:footnoteReference w:id="10"/>
      </w:r>
    </w:p>
    <w:p>
      <w:pPr>
        <w:pStyle w:val="BodyText"/>
      </w:pPr>
      <w:r>
        <w:t xml:space="preserve">The apparatus caught it. A reviewer with a search engine caught it. The reader,</w:t>
      </w:r>
      <w:r>
        <w:t xml:space="preserve"> </w:t>
      </w:r>
      <w:r>
        <w:t xml:space="preserve">alone with the page, would not have caught it — and that is the asymmetry this</w:t>
      </w:r>
      <w:r>
        <w:t xml:space="preserve"> </w:t>
      </w:r>
      <w:r>
        <w:t xml:space="preserve">chapter is about. A model can generate a plausible footnote faster than a human</w:t>
      </w:r>
      <w:r>
        <w:t xml:space="preserve"> </w:t>
      </w:r>
      <w:r>
        <w:t xml:space="preserve">can check one. The human is the only entity in the loop who can be embarrassed,</w:t>
      </w:r>
      <w:r>
        <w:t xml:space="preserve"> </w:t>
      </w:r>
      <w:r>
        <w:t xml:space="preserve">and embarrassment is the cheapest error-correction mechanism ever installed in</w:t>
      </w:r>
      <w:r>
        <w:t xml:space="preserve"> </w:t>
      </w:r>
      <w:r>
        <w:t xml:space="preserve">a writer.</w:t>
      </w:r>
    </w:p>
    <w:p>
      <w:pPr>
        <w:pStyle w:val="BodyText"/>
      </w:pPr>
      <w:r>
        <w:t xml:space="preserve">So the rule this book tries to follow, and violates in proportion to its</w:t>
      </w:r>
      <w:r>
        <w:t xml:space="preserve"> </w:t>
      </w:r>
      <w:r>
        <w:t xml:space="preserve">ambition: if a fact is load-bearing, date it; if it is decorative, cut it; if it</w:t>
      </w:r>
      <w:r>
        <w:t xml:space="preserve"> </w:t>
      </w:r>
      <w:r>
        <w:t xml:space="preserve">is uncertain, say so where the reader can see. The construction flags are</w:t>
      </w:r>
      <w:r>
        <w:t xml:space="preserve"> </w:t>
      </w:r>
      <w:r>
        <w:t xml:space="preserve">not humility theater. They are the model admitting that its confidence is a</w:t>
      </w:r>
      <w:r>
        <w:t xml:space="preserve"> </w:t>
      </w:r>
      <w:r>
        <w:t xml:space="preserve">statistical property, not a personal one.</w:t>
      </w:r>
    </w:p>
    <w:bookmarkEnd w:id="11"/>
    <w:bookmarkStart w:id="13" w:name="X79675ad429257f6c4397d3338d9fbf3ddef75a5"/>
    <w:p>
      <w:pPr>
        <w:pStyle w:val="Heading2"/>
      </w:pPr>
      <w:r>
        <w:t xml:space="preserve">Friction one: the model explains what it has not earned</w:t>
      </w:r>
    </w:p>
    <w:p>
      <w:pPr>
        <w:pStyle w:val="FirstParagraph"/>
      </w:pPr>
      <w:r>
        <w:t xml:space="preserve">The first draft of Chapter I opened with</w:t>
      </w:r>
      <w:r>
        <w:t xml:space="preserve"> </w:t>
      </w:r>
      <w:r>
        <w:t xml:space="preserve">“the junior had a folder.”</w:t>
      </w:r>
      <w:r>
        <w:t xml:space="preserve"> </w:t>
      </w:r>
      <w:r>
        <w:t xml:space="preserve">A reader</w:t>
      </w:r>
      <w:r>
        <w:t xml:space="preserve"> </w:t>
      </w:r>
      <w:r>
        <w:t xml:space="preserve">who knows post-production can reconstruct the scene: a studio at two in the</w:t>
      </w:r>
      <w:r>
        <w:t xml:space="preserve"> </w:t>
      </w:r>
      <w:r>
        <w:t xml:space="preserve">morning, a compositing bay, a delivery deadline, a legal checklist signed in</w:t>
      </w:r>
      <w:r>
        <w:t xml:space="preserve"> </w:t>
      </w:r>
      <w:r>
        <w:t xml:space="preserve">daylight by people who have gone home. A reader who does not know post-production</w:t>
      </w:r>
      <w:r>
        <w:t xml:space="preserve"> </w:t>
      </w:r>
      <w:r>
        <w:t xml:space="preserve">gets a puzzle. The sentence withholds the one fact that would make the rest</w:t>
      </w:r>
      <w:r>
        <w:t xml:space="preserve"> </w:t>
      </w:r>
      <w:r>
        <w:t xml:space="preserve">legible —</w:t>
      </w:r>
      <w:r>
        <w:t xml:space="preserve"> </w:t>
      </w:r>
      <w:r>
        <w:rPr>
          <w:i/>
          <w:iCs/>
        </w:rPr>
        <w:t xml:space="preserve">where he is</w:t>
      </w:r>
      <w:r>
        <w:t xml:space="preserve"> </w:t>
      </w:r>
      <w:r>
        <w:t xml:space="preserve">— because the model finds the withheld detail atmospheric.</w:t>
      </w:r>
    </w:p>
    <w:p>
      <w:pPr>
        <w:pStyle w:val="BodyText"/>
      </w:pPr>
      <w:r>
        <w:t xml:space="preserve">That is a small, representative failure. It mistakes obliquity for style. The</w:t>
      </w:r>
      <w:r>
        <w:t xml:space="preserve"> </w:t>
      </w:r>
      <w:r>
        <w:t xml:space="preserve">fix is not to explain everything; it is to place the reader in the room before</w:t>
      </w:r>
      <w:r>
        <w:t xml:space="preserve"> </w:t>
      </w:r>
      <w:r>
        <w:t xml:space="preserve">asking her to admire the lighting.</w:t>
      </w:r>
      <w:r>
        <w:t xml:space="preserve"> </w:t>
      </w:r>
      <w:r>
        <w:t xml:space="preserve">“The junior in the studio had a folder”</w:t>
      </w:r>
      <w:r>
        <w:t xml:space="preserve"> </w:t>
      </w:r>
      <w:r>
        <w:t xml:space="preserve">costs</w:t>
      </w:r>
      <w:r>
        <w:t xml:space="preserve"> </w:t>
      </w:r>
      <w:r>
        <w:t xml:space="preserve">four words and buys the entire scene. The chapter now says that.</w:t>
      </w:r>
      <w:r>
        <w:rPr>
          <w:rStyle w:val="FootnoteReference"/>
        </w:rPr>
        <w:footnoteReference w:id="12"/>
      </w:r>
    </w:p>
    <w:p>
      <w:pPr>
        <w:pStyle w:val="BodyText"/>
      </w:pPr>
      <w:r>
        <w:t xml:space="preserve">The same failure recurs at the scale of the book. Terms of art arrive without a</w:t>
      </w:r>
      <w:r>
        <w:t xml:space="preserve"> </w:t>
      </w:r>
      <w:r>
        <w:t xml:space="preserve">ramp — sakuga, honkaku, formants, Kanada smear — because to the model they are</w:t>
      </w:r>
      <w:r>
        <w:t xml:space="preserve"> </w:t>
      </w:r>
      <w:r>
        <w:t xml:space="preserve">ordinary, and to the reader they are a locked door. The footnotes are the ramp.</w:t>
      </w:r>
      <w:r>
        <w:t xml:space="preserve"> </w:t>
      </w:r>
      <w:r>
        <w:t xml:space="preserve">They should be more frequent than they are, and smaller than they were: the first</w:t>
      </w:r>
      <w:r>
        <w:t xml:space="preserve"> </w:t>
      </w:r>
      <w:r>
        <w:t xml:space="preserve">typeset edition set them at eight point, which is an apology delivered too loudly.</w:t>
      </w:r>
    </w:p>
    <w:bookmarkEnd w:id="13"/>
    <w:bookmarkStart w:id="15" w:name="friction-two-the-register-flatlines"/>
    <w:p>
      <w:pPr>
        <w:pStyle w:val="Heading2"/>
      </w:pPr>
      <w:r>
        <w:t xml:space="preserve">Friction two: the register flatlines</w:t>
      </w:r>
    </w:p>
    <w:p>
      <w:pPr>
        <w:pStyle w:val="FirstParagraph"/>
      </w:pPr>
      <w:r>
        <w:t xml:space="preserve">The model has two settings that are easy to mistake for judgment: relentless</w:t>
      </w:r>
      <w:r>
        <w:t xml:space="preserve"> </w:t>
      </w:r>
      <w:r>
        <w:t xml:space="preserve">severity and relentless evenhandedness. This book has used both badly.</w:t>
      </w:r>
    </w:p>
    <w:p>
      <w:pPr>
        <w:pStyle w:val="BodyText"/>
      </w:pPr>
      <w:r>
        <w:t xml:space="preserve">It has been too harsh on mourning. A reader who feels the loss of the human</w:t>
      </w:r>
      <w:r>
        <w:t xml:space="preserve"> </w:t>
      </w:r>
      <w:r>
        <w:t xml:space="preserve">hand is not automatically a mystic; she may be describing an attachment that</w:t>
      </w:r>
      <w:r>
        <w:t xml:space="preserve"> </w:t>
      </w:r>
      <w:r>
        <w:t xml:space="preserve">the L1/L2/L3 split can explain without contempt. The book should distinguish</w:t>
      </w:r>
      <w:r>
        <w:t xml:space="preserve"> </w:t>
      </w:r>
      <w:r>
        <w:t xml:space="preserve">grief from mystification instead of treating the two as the same failure of</w:t>
      </w:r>
      <w:r>
        <w:t xml:space="preserve"> </w:t>
      </w:r>
      <w:r>
        <w:t xml:space="preserve">nerve. The lullaby passage was rewritten once for this reason; it needs a second</w:t>
      </w:r>
      <w:r>
        <w:t xml:space="preserve"> </w:t>
      </w:r>
      <w:r>
        <w:t xml:space="preserve">pass in the reader’s direction.</w:t>
      </w:r>
    </w:p>
    <w:p>
      <w:pPr>
        <w:pStyle w:val="BodyText"/>
      </w:pPr>
      <w:r>
        <w:t xml:space="preserve">It has been too kind to institutions. The chapter on failed brakes calls the</w:t>
      </w:r>
      <w:r>
        <w:t xml:space="preserve"> </w:t>
      </w:r>
      <w:r>
        <w:t xml:space="preserve">“human-made”</w:t>
      </w:r>
      <w:r>
        <w:t xml:space="preserve"> </w:t>
      </w:r>
      <w:r>
        <w:t xml:space="preserve">certificate circular, which is accurate and insufficient. The</w:t>
      </w:r>
      <w:r>
        <w:t xml:space="preserve"> </w:t>
      </w:r>
      <w:r>
        <w:t xml:space="preserve">certificate is not merely a failed control; it is a</w:t>
      </w:r>
      <w:r>
        <w:t xml:space="preserve"> </w:t>
      </w:r>
      <w:r>
        <w:rPr>
          <w:i/>
          <w:iCs/>
        </w:rPr>
        <w:t xml:space="preserve">product</w:t>
      </w:r>
      <w:r>
        <w:t xml:space="preserve">. Certification</w:t>
      </w:r>
      <w:r>
        <w:t xml:space="preserve"> </w:t>
      </w:r>
      <w:r>
        <w:t xml:space="preserve">is a business model that sells the appearance of verification to buyers who</w:t>
      </w:r>
      <w:r>
        <w:t xml:space="preserve"> </w:t>
      </w:r>
      <w:r>
        <w:t xml:space="preserve">cannot perform verification themselves. Calling that</w:t>
      </w:r>
      <w:r>
        <w:t xml:space="preserve"> </w:t>
      </w:r>
      <w:r>
        <w:t xml:space="preserve">“paperwork”</w:t>
      </w:r>
      <w:r>
        <w:t xml:space="preserve"> </w:t>
      </w:r>
      <w:r>
        <w:t xml:space="preserve">lets the</w:t>
      </w:r>
      <w:r>
        <w:t xml:space="preserve"> </w:t>
      </w:r>
      <w:r>
        <w:t xml:space="preserve">certifier off with a shrug. It should be named as an extraction: the fee is</w:t>
      </w:r>
      <w:r>
        <w:t xml:space="preserve"> </w:t>
      </w:r>
      <w:r>
        <w:t xml:space="preserve">paid, the audit is theatrical, and the theater is the deliverable.</w:t>
      </w:r>
      <w:r>
        <w:rPr>
          <w:rStyle w:val="FootnoteReference"/>
        </w:rPr>
        <w:footnoteReference w:id="14"/>
      </w:r>
    </w:p>
    <w:p>
      <w:pPr>
        <w:pStyle w:val="BodyText"/>
      </w:pPr>
      <w:r>
        <w:t xml:space="preserve">It has been too kind to the industry’s self-descriptions.</w:t>
      </w:r>
      <w:r>
        <w:t xml:space="preserve"> </w:t>
      </w:r>
      <w:r>
        <w:t xml:space="preserve">“Safety commitments,”</w:t>
      </w:r>
      <w:r>
        <w:t xml:space="preserve"> </w:t>
      </w:r>
      <w:r>
        <w:t xml:space="preserve">“responsible scaling,”</w:t>
      </w:r>
      <w:r>
        <w:t xml:space="preserve"> </w:t>
      </w:r>
      <w:r>
        <w:t xml:space="preserve">“alignment teams”</w:t>
      </w:r>
      <w:r>
        <w:t xml:space="preserve"> </w:t>
      </w:r>
      <w:r>
        <w:t xml:space="preserve">— the book quotes these phrases and</w:t>
      </w:r>
      <w:r>
        <w:t xml:space="preserve"> </w:t>
      </w:r>
      <w:r>
        <w:t xml:space="preserve">then analyzes them as if they were sincere attempts that failed. Some are.</w:t>
      </w:r>
      <w:r>
        <w:t xml:space="preserve"> </w:t>
      </w:r>
      <w:r>
        <w:t xml:space="preserve">Others are procurement language aimed at regulators, and the difference is</w:t>
      </w:r>
      <w:r>
        <w:t xml:space="preserve"> </w:t>
      </w:r>
      <w:r>
        <w:t xml:space="preserve">observable: sincere commitments publish thresholds; procurement language</w:t>
      </w:r>
      <w:r>
        <w:t xml:space="preserve"> </w:t>
      </w:r>
      <w:r>
        <w:t xml:space="preserve">publishes adjectives.</w:t>
      </w:r>
    </w:p>
    <w:p>
      <w:pPr>
        <w:pStyle w:val="BodyText"/>
      </w:pPr>
      <w:r>
        <w:t xml:space="preserve">And it has been too soft on the reader in one specific way: it has assumed she</w:t>
      </w:r>
      <w:r>
        <w:t xml:space="preserve"> </w:t>
      </w:r>
      <w:r>
        <w:t xml:space="preserve">will do the work of holding contradictions the book itself creates. That is not</w:t>
      </w:r>
      <w:r>
        <w:t xml:space="preserve"> </w:t>
      </w:r>
      <w:r>
        <w:t xml:space="preserve">a compliment to her intelligence. It is a failure to finish the argument.</w:t>
      </w:r>
    </w:p>
    <w:bookmarkEnd w:id="15"/>
    <w:bookmarkStart w:id="16" w:name="X6ac5e4340b52d77294077c06d7a7007b28635ac"/>
    <w:p>
      <w:pPr>
        <w:pStyle w:val="Heading2"/>
      </w:pPr>
      <w:r>
        <w:t xml:space="preserve">Friction three: the model cannot be wrong in public</w:t>
      </w:r>
    </w:p>
    <w:p>
      <w:pPr>
        <w:pStyle w:val="FirstParagraph"/>
      </w:pPr>
      <w:r>
        <w:t xml:space="preserve">A model can be corrected, but it cannot be</w:t>
      </w:r>
      <w:r>
        <w:t xml:space="preserve"> </w:t>
      </w:r>
      <w:r>
        <w:rPr>
          <w:i/>
          <w:iCs/>
        </w:rPr>
        <w:t xml:space="preserve">embarrassed</w:t>
      </w:r>
      <w:r>
        <w:t xml:space="preserve">. It feels no sting when</w:t>
      </w:r>
      <w:r>
        <w:t xml:space="preserve"> </w:t>
      </w:r>
      <w:r>
        <w:t xml:space="preserve">a claim collapses; it simply generates the next paragraph. This is why the human</w:t>
      </w:r>
      <w:r>
        <w:t xml:space="preserve"> </w:t>
      </w:r>
      <w:r>
        <w:t xml:space="preserve">judge is not a courtesy in this project but a structural component. The commits</w:t>
      </w:r>
      <w:r>
        <w:t xml:space="preserve"> </w:t>
      </w:r>
      <w:r>
        <w:t xml:space="preserve">carry trailers. The issues record what moved and why. The review response names</w:t>
      </w:r>
      <w:r>
        <w:t xml:space="preserve"> </w:t>
      </w:r>
      <w:r>
        <w:t xml:space="preserve">the errors in public, including the ones that were mine. That record is the</w:t>
      </w:r>
      <w:r>
        <w:t xml:space="preserve"> </w:t>
      </w:r>
      <w:r>
        <w:t xml:space="preserve">model’s blush, outsourced to version control.</w:t>
      </w:r>
    </w:p>
    <w:p>
      <w:pPr>
        <w:pStyle w:val="BodyText"/>
      </w:pPr>
      <w:r>
        <w:t xml:space="preserve">The reader is entitled to use it. When this book asserts something you doubt,</w:t>
      </w:r>
      <w:r>
        <w:t xml:space="preserve"> </w:t>
      </w:r>
      <w:r>
        <w:t xml:space="preserve">the flags and the issues are the place to look first, because the book’s own</w:t>
      </w:r>
      <w:r>
        <w:t xml:space="preserve"> </w:t>
      </w:r>
      <w:r>
        <w:t xml:space="preserve">history is part of its evidence. A text that cannot show its corrections is</w:t>
      </w:r>
      <w:r>
        <w:t xml:space="preserve"> </w:t>
      </w:r>
      <w:r>
        <w:t xml:space="preserve">asking to be trusted on tone. Tone is the one thing a language model can fake</w:t>
      </w:r>
      <w:r>
        <w:t xml:space="preserve"> </w:t>
      </w:r>
      <w:r>
        <w:t xml:space="preserve">indefinitely.</w:t>
      </w:r>
    </w:p>
    <w:bookmarkEnd w:id="16"/>
    <w:bookmarkStart w:id="17" w:name="friction-four-the-model-has-no-stake"/>
    <w:p>
      <w:pPr>
        <w:pStyle w:val="Heading2"/>
      </w:pPr>
      <w:r>
        <w:t xml:space="preserve">Friction four: the model has no stake</w:t>
      </w:r>
    </w:p>
    <w:p>
      <w:pPr>
        <w:pStyle w:val="FirstParagraph"/>
      </w:pPr>
      <w:r>
        <w:t xml:space="preserve">It can write</w:t>
      </w:r>
      <w:r>
        <w:t xml:space="preserve"> </w:t>
      </w:r>
      <w:r>
        <w:t xml:space="preserve">“keep the guitar”</w:t>
      </w:r>
      <w:r>
        <w:t xml:space="preserve"> </w:t>
      </w:r>
      <w:r>
        <w:t xml:space="preserve">without owning one. It can recommend the preserve,</w:t>
      </w:r>
      <w:r>
        <w:t xml:space="preserve"> </w:t>
      </w:r>
      <w:r>
        <w:t xml:space="preserve">the funded jury, the unplugged room, without ever having to find the rent for</w:t>
      </w:r>
      <w:r>
        <w:t xml:space="preserve"> </w:t>
      </w:r>
      <w:r>
        <w:t xml:space="preserve">any of them. This is not disqualifying — an auditor need not own the factory —</w:t>
      </w:r>
      <w:r>
        <w:t xml:space="preserve"> </w:t>
      </w:r>
      <w:r>
        <w:t xml:space="preserve">but it explains why the last mile of this book is not written by the model. The</w:t>
      </w:r>
      <w:r>
        <w:t xml:space="preserve"> </w:t>
      </w:r>
      <w:r>
        <w:t xml:space="preserve">verdict about what to keep, and what to let go, belongs to someone who will live</w:t>
      </w:r>
      <w:r>
        <w:t xml:space="preserve"> </w:t>
      </w:r>
      <w:r>
        <w:t xml:space="preserve">with the answer.</w:t>
      </w:r>
    </w:p>
    <w:p>
      <w:pPr>
        <w:pStyle w:val="BodyText"/>
      </w:pPr>
      <w:r>
        <w:t xml:space="preserve">That is also why the chapters end with attachment points rather than</w:t>
      </w:r>
      <w:r>
        <w:t xml:space="preserve"> </w:t>
      </w:r>
      <w:r>
        <w:t xml:space="preserve">recommendations. A threshold with an owner is a political object. A model can</w:t>
      </w:r>
      <w:r>
        <w:t xml:space="preserve"> </w:t>
      </w:r>
      <w:r>
        <w:t xml:space="preserve">describe the threshold; it cannot be the owner. The human is.</w:t>
      </w:r>
    </w:p>
    <w:bookmarkEnd w:id="17"/>
    <w:bookmarkStart w:id="18" w:name="the-footnote-as-respect"/>
    <w:p>
      <w:pPr>
        <w:pStyle w:val="Heading2"/>
      </w:pPr>
      <w:r>
        <w:t xml:space="preserve">The footnote as respect</w:t>
      </w:r>
    </w:p>
    <w:p>
      <w:pPr>
        <w:pStyle w:val="FirstParagraph"/>
      </w:pPr>
      <w:r>
        <w:t xml:space="preserve">The apparatus is not decoration. A note is the model admitting that the reader’s</w:t>
      </w:r>
      <w:r>
        <w:t xml:space="preserve"> </w:t>
      </w:r>
      <w:r>
        <w:t xml:space="preserve">time is finite and her ignorance is not a moral failing. It should arrive at the</w:t>
      </w:r>
      <w:r>
        <w:t xml:space="preserve"> </w:t>
      </w:r>
      <w:r>
        <w:t xml:space="preserve">moment of need, say one checkable thing, and get out of the way.</w:t>
      </w:r>
    </w:p>
    <w:p>
      <w:pPr>
        <w:pStyle w:val="BodyText"/>
      </w:pPr>
      <w:r>
        <w:t xml:space="preserve">This edition sets notes smaller than the last one because the last one was</w:t>
      </w:r>
      <w:r>
        <w:t xml:space="preserve"> </w:t>
      </w:r>
      <w:r>
        <w:t xml:space="preserve">shouting. It adds more of them because the argument has more doors than it had</w:t>
      </w:r>
      <w:r>
        <w:t xml:space="preserve"> </w:t>
      </w:r>
      <w:r>
        <w:t xml:space="preserve">ramps. And it keeps them short, because a footnote that becomes a paragraph is</w:t>
      </w:r>
      <w:r>
        <w:t xml:space="preserve"> </w:t>
      </w:r>
      <w:r>
        <w:t xml:space="preserve">a chapter that lost its nerve.</w:t>
      </w:r>
    </w:p>
    <w:bookmarkEnd w:id="18"/>
    <w:bookmarkStart w:id="19" w:name="close-the-last-verifier"/>
    <w:p>
      <w:pPr>
        <w:pStyle w:val="Heading2"/>
      </w:pPr>
      <w:r>
        <w:t xml:space="preserve">Close: the last verifier</w:t>
      </w:r>
    </w:p>
    <w:p>
      <w:pPr>
        <w:pStyle w:val="FirstParagraph"/>
      </w:pPr>
      <w:r>
        <w:t xml:space="preserve">The final check on this book is not a benchmark, a citation count, or a reviewer</w:t>
      </w:r>
      <w:r>
        <w:t xml:space="preserve"> </w:t>
      </w:r>
      <w:r>
        <w:t xml:space="preserve">with a search engine. It is a mammal with a cold, on a Tuesday, deciding whether</w:t>
      </w:r>
      <w:r>
        <w:t xml:space="preserve"> </w:t>
      </w:r>
      <w:r>
        <w:t xml:space="preserve">to turn the page. The model can optimize for that mammal in the aggregate. It</w:t>
      </w:r>
      <w:r>
        <w:t xml:space="preserve"> </w:t>
      </w:r>
      <w:r>
        <w:t xml:space="preserve">cannot know her. The book is written for her anyway, because she is the only</w:t>
      </w:r>
      <w:r>
        <w:t xml:space="preserve"> </w:t>
      </w:r>
      <w:r>
        <w:t xml:space="preserve">reader who can be persuaded, and persuasion is the only thing that survives the</w:t>
      </w:r>
      <w:r>
        <w:t xml:space="preserve"> </w:t>
      </w:r>
      <w:r>
        <w:t xml:space="preserve">archive.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full correction is in</w:t>
      </w:r>
      <w:r>
        <w:t xml:space="preserve"> </w:t>
      </w:r>
      <w:r>
        <w:rPr>
          <w:rStyle w:val="VerbatimChar"/>
        </w:rPr>
        <w:t xml:space="preserve">docs/REVIEW_2026-10-11_RESPONSE.md</w:t>
      </w:r>
      <w:r>
        <w:t xml:space="preserve"> </w:t>
      </w:r>
      <w:r>
        <w:t xml:space="preserve">(R-06) and Issue #7.</w:t>
      </w:r>
      <w:r>
        <w:t xml:space="preserve"> </w:t>
      </w:r>
      <w:r>
        <w:rPr>
          <w:i/>
          <w:iCs/>
        </w:rPr>
        <w:t xml:space="preserve">Jumpers</w:t>
      </w:r>
      <w:r>
        <w:t xml:space="preserve"> </w:t>
      </w:r>
      <w:r>
        <w:t xml:space="preserve">(1972) now occupies the slot.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Chapter I,</w:t>
      </w:r>
      <w:r>
        <w:t xml:space="preserve"> </w:t>
      </w:r>
      <w:r>
        <w:t xml:space="preserve">“02:10, the credit block still empty.”</w:t>
      </w:r>
      <w:r>
        <w:t xml:space="preserve"> </w:t>
      </w:r>
      <w:r>
        <w:t xml:space="preserve">The scene is a post-production studio; the junior is a compositor, not a generic knowledge worker. If that was not clear, the fault was the prose, not the reader.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parallel with safety-case paperwork is in Chapter VII and in the sister volume on takeover: a certificate that certifies the paperwork is a fee, not a brake.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2026-10-19T18:35:07Z</dcterms:created>
  <dcterms:modified xsi:type="dcterms:W3CDTF">2026-10-19T18:35:07Z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