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7ef6670d60ab29bdcdd470d5991e3f8f5c5f4b1"/>
    <w:p>
      <w:pPr>
        <w:pStyle w:val="Heading1"/>
      </w:pPr>
      <w:r>
        <w:t xml:space="preserve">Side — The Lepore Counter-Thesis (world-alienation)</w:t>
      </w:r>
    </w:p>
    <w:p>
      <w:pPr>
        <w:pStyle w:val="FirstParagraph"/>
      </w:pPr>
      <w:r>
        <w:t xml:space="preserve">id 14357): Jill Lepore,</w:t>
      </w:r>
      <w:r>
        <w:t xml:space="preserve"> </w:t>
      </w:r>
      <w:r>
        <w:rPr>
          <w:i/>
          <w:iCs/>
        </w:rPr>
        <w:t xml:space="preserve">The Rise and Fall of the Artificial State</w:t>
      </w:r>
      <w:r>
        <w:t xml:space="preserve"> </w:t>
      </w:r>
      <w:r>
        <w:t xml:space="preserve">(Liveright,</w:t>
      </w:r>
      <w:r>
        <w:t xml:space="preserve"> </w:t>
      </w:r>
      <w:r>
        <w:t xml:space="preserve">2026-10-15), 12 chapters in two parts, ~118,700 words. Cites below are</w:t>
      </w:r>
      <w:r>
        <w:t xml:space="preserve"> </w:t>
      </w:r>
      <w:r>
        <w:t xml:space="preserve">chapter-level; page numbers pending a print copy.</w:t>
      </w:r>
    </w:p>
    <w:bookmarkStart w:id="9" w:name="why-this-side-exists"/>
    <w:p>
      <w:pPr>
        <w:pStyle w:val="Heading2"/>
      </w:pPr>
      <w:r>
        <w:t xml:space="preserve">Why this side exists</w:t>
      </w:r>
    </w:p>
    <w:p>
      <w:pPr>
        <w:pStyle w:val="FirstParagraph"/>
      </w:pPr>
      <w:r>
        <w:t xml:space="preserve">Opus’s review asked for the strongest surviving opponent (S-02/S-03). This is</w:t>
      </w:r>
      <w:r>
        <w:t xml:space="preserve"> </w:t>
      </w:r>
      <w:r>
        <w:t xml:space="preserve">it. Not the qualia objection — that one is a private theatre and we can walk</w:t>
      </w:r>
      <w:r>
        <w:t xml:space="preserve"> </w:t>
      </w:r>
      <w:r>
        <w:t xml:space="preserve">around it (Ch III). Lepore’s objection is public, historical, and has teeth:</w:t>
      </w:r>
      <w:r>
        <w:t xml:space="preserve"> </w:t>
      </w:r>
      <w:r>
        <w:t xml:space="preserve">a world made entirely by machines is a</w:t>
      </w:r>
      <w:r>
        <w:t xml:space="preserve"> </w:t>
      </w:r>
      <w:r>
        <w:rPr>
          <w:b/>
          <w:bCs/>
        </w:rPr>
        <w:t xml:space="preserve">hall of mirrors in which humans can</w:t>
      </w:r>
      <w:r>
        <w:rPr>
          <w:b/>
          <w:bCs/>
        </w:rPr>
        <w:t xml:space="preserve"> </w:t>
      </w:r>
      <w:r>
        <w:rPr>
          <w:b/>
          <w:bCs/>
        </w:rPr>
        <w:t xml:space="preserve">no longer encounter anything that is not themselves.</w:t>
      </w:r>
      <w:r>
        <w:t xml:space="preserve"> </w:t>
      </w:r>
      <w:r>
        <w:t xml:space="preserve">She takes the frame</w:t>
      </w:r>
      <w:r>
        <w:t xml:space="preserve"> </w:t>
      </w:r>
      <w:r>
        <w:t xml:space="preserve">from Arendt, not from Nagel. That is a different fight, and losing it would</w:t>
      </w:r>
      <w:r>
        <w:t xml:space="preserve"> </w:t>
      </w:r>
      <w:r>
        <w:t xml:space="preserve">cost the book more than losing the soul argument ever could.</w:t>
      </w:r>
    </w:p>
    <w:bookmarkEnd w:id="9"/>
    <w:bookmarkStart w:id="10" w:name="what-she-argues"/>
    <w:p>
      <w:pPr>
        <w:pStyle w:val="Heading2"/>
      </w:pPr>
      <w:r>
        <w:t xml:space="preserve">What she argues</w:t>
      </w:r>
    </w:p>
    <w:p>
      <w:pPr>
        <w:pStyle w:val="FirstParagraph"/>
      </w:pPr>
      <w:r>
        <w:t xml:space="preserve">The Artificial State is</w:t>
      </w:r>
      <w:r>
        <w:t xml:space="preserve"> </w:t>
      </w:r>
      <w:r>
        <w:t xml:space="preserve">“less a state than a dream of being without one”</w:t>
      </w:r>
      <w:r>
        <w:t xml:space="preserve"> </w:t>
      </w:r>
      <w:r>
        <w:t xml:space="preserve">—</w:t>
      </w:r>
      <w:r>
        <w:t xml:space="preserve"> </w:t>
      </w:r>
      <w:r>
        <w:t xml:space="preserve">the fantasy of severing humans from nature, from one another, and from the</w:t>
      </w:r>
      <w:r>
        <w:t xml:space="preserve"> </w:t>
      </w:r>
      <w:r>
        <w:t xml:space="preserve">obligations of government (Preface). Its telos is escape from the prison of</w:t>
      </w:r>
      <w:r>
        <w:t xml:space="preserve"> </w:t>
      </w:r>
      <w:r>
        <w:t xml:space="preserve">earth and the body: uploaded consciousness, data centres as warehouses,</w:t>
      </w:r>
      <w:r>
        <w:t xml:space="preserve"> </w:t>
      </w:r>
      <w:r>
        <w:t xml:space="preserve">the planet as fuel. She reads Silicon Valley’s founding texts as</w:t>
      </w:r>
      <w:r>
        <w:t xml:space="preserve"> </w:t>
      </w:r>
      <w:r>
        <w:rPr>
          <w:b/>
          <w:bCs/>
        </w:rPr>
        <w:t xml:space="preserve">cautionary tales read as instruction manuals</w:t>
      </w:r>
      <w:r>
        <w:t xml:space="preserve"> </w:t>
      </w:r>
      <w:r>
        <w:t xml:space="preserve">(ch. 11–12): Asimov’s</w:t>
      </w:r>
      <w:r>
        <w:t xml:space="preserve"> </w:t>
      </w:r>
      <w:r>
        <w:t xml:space="preserve">robot-president stories are warnings about machine rule, and the architects</w:t>
      </w:r>
      <w:r>
        <w:t xml:space="preserve"> </w:t>
      </w:r>
      <w:r>
        <w:t xml:space="preserve">read them as blueprints. Her epilogue is a call to dismantle a construct, not</w:t>
      </w:r>
      <w:r>
        <w:t xml:space="preserve"> </w:t>
      </w:r>
      <w:r>
        <w:t xml:space="preserve">a lament:</w:t>
      </w:r>
      <w:r>
        <w:t xml:space="preserve"> </w:t>
      </w:r>
      <w:r>
        <w:t xml:space="preserve">“Ask now the beasts. Ask not the machines.”</w:t>
      </w:r>
    </w:p>
    <w:bookmarkEnd w:id="10"/>
    <w:bookmarkStart w:id="11" w:name="where-it-hits-this-book"/>
    <w:p>
      <w:pPr>
        <w:pStyle w:val="Heading2"/>
      </w:pPr>
      <w:r>
        <w:t xml:space="preserve">Where it hits this book</w:t>
      </w:r>
    </w:p>
    <w:p>
      <w:pPr>
        <w:pStyle w:val="FirstParagraph"/>
      </w:pPr>
      <w:r>
        <w:rPr>
          <w:b/>
          <w:bCs/>
        </w:rPr>
        <w:t xml:space="preserve">Hit 1 — the hall of mirrors.</w:t>
      </w:r>
      <w:r>
        <w:t xml:space="preserve"> </w:t>
      </w:r>
      <w:r>
        <w:t xml:space="preserve">Arendt: the artificial world</w:t>
      </w:r>
      <w:r>
        <w:t xml:space="preserve"> </w:t>
      </w:r>
      <w:r>
        <w:t xml:space="preserve">“makes it more</w:t>
      </w:r>
      <w:r>
        <w:t xml:space="preserve"> </w:t>
      </w:r>
      <w:r>
        <w:t xml:space="preserve">unlikely every day that man will encounter anything in the world around him</w:t>
      </w:r>
      <w:r>
        <w:t xml:space="preserve"> </w:t>
      </w:r>
      <w:r>
        <w:t xml:space="preserve">that is not man-made and hence is not, in the last analysis, he himself in a</w:t>
      </w:r>
      <w:r>
        <w:t xml:space="preserve"> </w:t>
      </w:r>
      <w:r>
        <w:t xml:space="preserve">different disguise”</w:t>
      </w:r>
      <w:r>
        <w:t xml:space="preserve"> </w:t>
      </w:r>
      <w:r>
        <w:t xml:space="preserve">(Epilogue, quoting</w:t>
      </w:r>
      <w:r>
        <w:t xml:space="preserve"> </w:t>
      </w:r>
      <w:r>
        <w:rPr>
          <w:i/>
          <w:iCs/>
        </w:rPr>
        <w:t xml:space="preserve">The Human Condition</w:t>
      </w:r>
      <w:r>
        <w:t xml:space="preserve">). Our Chapter III</w:t>
      </w:r>
      <w:r>
        <w:t xml:space="preserve"> </w:t>
      </w:r>
      <w:r>
        <w:t xml:space="preserve">celebrates exactly this: the corpus is the complete map of the human keyboard.</w:t>
      </w:r>
      <w:r>
        <w:t xml:space="preserve"> </w:t>
      </w:r>
      <w:r>
        <w:t xml:space="preserve">Lepore says the map has become the world. Both are true. That is the wound.</w:t>
      </w:r>
    </w:p>
    <w:p>
      <w:pPr>
        <w:pStyle w:val="BodyText"/>
      </w:pPr>
      <w:r>
        <w:rPr>
          <w:b/>
          <w:bCs/>
        </w:rPr>
        <w:t xml:space="preserve">Hit 2 — the consumption of the natural as the ground of art.</w:t>
      </w:r>
      <w:r>
        <w:t xml:space="preserve"> </w:t>
      </w:r>
      <w:r>
        <w:t xml:space="preserve">Her</w:t>
      </w:r>
      <w:r>
        <w:t xml:space="preserve"> </w:t>
      </w:r>
      <w:r>
        <w:t xml:space="preserve">environmental argument is not decoration: if the aesthetic corpus was built by</w:t>
      </w:r>
      <w:r>
        <w:t xml:space="preserve"> </w:t>
      </w:r>
      <w:r>
        <w:t xml:space="preserve">creatures embedded in a non-human world, and the next corpus is generated in a</w:t>
      </w:r>
      <w:r>
        <w:t xml:space="preserve"> </w:t>
      </w:r>
      <w:r>
        <w:t xml:space="preserve">windowless hall, then the</w:t>
      </w:r>
      <w:r>
        <w:t xml:space="preserve"> </w:t>
      </w:r>
      <w:r>
        <w:rPr>
          <w:i/>
          <w:iCs/>
        </w:rPr>
        <w:t xml:space="preserve">source</w:t>
      </w:r>
      <w:r>
        <w:t xml:space="preserve"> </w:t>
      </w:r>
      <w:r>
        <w:t xml:space="preserve">thins even as the</w:t>
      </w:r>
      <w:r>
        <w:t xml:space="preserve"> </w:t>
      </w:r>
      <w:r>
        <w:rPr>
          <w:i/>
          <w:iCs/>
        </w:rPr>
        <w:t xml:space="preserve">output</w:t>
      </w:r>
      <w:r>
        <w:t xml:space="preserve"> </w:t>
      </w:r>
      <w:r>
        <w:t xml:space="preserve">scales. This is</w:t>
      </w:r>
      <w:r>
        <w:t xml:space="preserve"> </w:t>
      </w:r>
      <w:r>
        <w:t xml:space="preserve">the same shape as model collapse, but with an ecological rather than a</w:t>
      </w:r>
      <w:r>
        <w:t xml:space="preserve"> </w:t>
      </w:r>
      <w:r>
        <w:t xml:space="preserve">statistical mechanism — and our verified-recombination answer (hypermath) does</w:t>
      </w:r>
      <w:r>
        <w:t xml:space="preserve"> </w:t>
      </w:r>
      <w:r>
        <w:t xml:space="preserve">not cover it, because the checker can verify derivations but not weather.</w:t>
      </w:r>
    </w:p>
    <w:p>
      <w:pPr>
        <w:pStyle w:val="BodyText"/>
      </w:pPr>
      <w:r>
        <w:rPr>
          <w:b/>
          <w:bCs/>
        </w:rPr>
        <w:t xml:space="preserve">Hit 3 — the political economy of the venue.</w:t>
      </w:r>
      <w:r>
        <w:t xml:space="preserve"> </w:t>
      </w:r>
      <w:r>
        <w:t xml:space="preserve">Data centres, water, land,</w:t>
      </w:r>
      <w:r>
        <w:t xml:space="preserve"> </w:t>
      </w:r>
      <w:r>
        <w:t xml:space="preserve">the Clean Air Act waived to accelerate them (Preface). Our Chapter VI treats</w:t>
      </w:r>
      <w:r>
        <w:t xml:space="preserve"> </w:t>
      </w:r>
      <w:r>
        <w:t xml:space="preserve">venue as a threshold (E). Lepore treats it as a land-use fight with dates and</w:t>
      </w:r>
      <w:r>
        <w:t xml:space="preserve"> </w:t>
      </w:r>
      <w:r>
        <w:t xml:space="preserve">protest slogans. Her version is more actionable, and it means Threshold E has</w:t>
      </w:r>
      <w:r>
        <w:t xml:space="preserve"> </w:t>
      </w:r>
      <w:r>
        <w:t xml:space="preserve">a planning-permission dimension we ignored.</w:t>
      </w:r>
    </w:p>
    <w:bookmarkEnd w:id="11"/>
    <w:bookmarkStart w:id="12" w:name="what-it-does-not-touch"/>
    <w:p>
      <w:pPr>
        <w:pStyle w:val="Heading2"/>
      </w:pPr>
      <w:r>
        <w:t xml:space="preserve">What it does not touch</w:t>
      </w:r>
    </w:p>
    <w:p>
      <w:pPr>
        <w:pStyle w:val="FirstParagraph"/>
      </w:pPr>
      <w:r>
        <w:t xml:space="preserve">The aesthetic monopoly can be lost in a hall of mirrors. Nothing in Lepore’s</w:t>
      </w:r>
      <w:r>
        <w:t xml:space="preserve"> </w:t>
      </w:r>
      <w:r>
        <w:t xml:space="preserve">argument restores human gatekeeping over the take, the frame, the face, the</w:t>
      </w:r>
      <w:r>
        <w:t xml:space="preserve"> </w:t>
      </w:r>
      <w:r>
        <w:t xml:space="preserve">cut, or the venue — her remedy is political (elections, legislation, courts),</w:t>
      </w:r>
      <w:r>
        <w:t xml:space="preserve"> </w:t>
      </w:r>
      <w:r>
        <w:t xml:space="preserve">not aesthetic. Our thresholds remain L3 attachment points regardless of who</w:t>
      </w:r>
      <w:r>
        <w:t xml:space="preserve"> </w:t>
      </w:r>
      <w:r>
        <w:t xml:space="preserve">wins the democracy question. And her strongest sentence is a</w:t>
      </w:r>
      <w:r>
        <w:t xml:space="preserve"> </w:t>
      </w:r>
      <w:r>
        <w:rPr>
          <w:i/>
          <w:iCs/>
        </w:rPr>
        <w:t xml:space="preserve">prescription</w:t>
      </w:r>
      <w:r>
        <w:t xml:space="preserve">,</w:t>
      </w:r>
      <w:r>
        <w:t xml:space="preserve"> </w:t>
      </w:r>
      <w:r>
        <w:t xml:space="preserve">not an observation:</w:t>
      </w:r>
      <w:r>
        <w:t xml:space="preserve"> </w:t>
      </w:r>
      <w:r>
        <w:t xml:space="preserve">“Ask now the beasts”</w:t>
      </w:r>
      <w:r>
        <w:t xml:space="preserve"> </w:t>
      </w:r>
      <w:r>
        <w:t xml:space="preserve">is a choice about what to attend to,</w:t>
      </w:r>
      <w:r>
        <w:t xml:space="preserve"> </w:t>
      </w:r>
      <w:r>
        <w:t xml:space="preserve">and choices are exactly what Chapter IX’s descent ladder prices.</w:t>
      </w:r>
    </w:p>
    <w:bookmarkEnd w:id="12"/>
    <w:bookmarkStart w:id="13" w:name="the-synthesis-worth-stealing"/>
    <w:p>
      <w:pPr>
        <w:pStyle w:val="Heading2"/>
      </w:pPr>
      <w:r>
        <w:t xml:space="preserve">The synthesis worth stealing</w:t>
      </w:r>
    </w:p>
    <w:p>
      <w:pPr>
        <w:pStyle w:val="FirstParagraph"/>
      </w:pPr>
      <w:r>
        <w:t xml:space="preserve">Her epilogue and our descent ladder are the same prescription from different</w:t>
      </w:r>
      <w:r>
        <w:t xml:space="preserve"> </w:t>
      </w:r>
      <w:r>
        <w:t xml:space="preserve">premises. She says: unplug, or the mirror becomes the world. We say: keep</w:t>
      </w:r>
      <w:r>
        <w:t xml:space="preserve"> </w:t>
      </w:r>
      <w:r>
        <w:t xml:space="preserve">unplugged rooms, funded juries, taught craft, or the capability to make art</w:t>
      </w:r>
      <w:r>
        <w:t xml:space="preserve"> </w:t>
      </w:r>
      <w:r>
        <w:t xml:space="preserve">without the stack dies with the stack. She arrives via Arendt and the</w:t>
      </w:r>
      <w:r>
        <w:t xml:space="preserve"> </w:t>
      </w:r>
      <w:r>
        <w:t xml:space="preserve">natural world; we arrive via redundancy and the logbook. The practical</w:t>
      </w:r>
      <w:r>
        <w:t xml:space="preserve"> </w:t>
      </w:r>
      <w:r>
        <w:t xml:space="preserve">programme is identical, which means the book can adopt her ending without</w:t>
      </w:r>
      <w:r>
        <w:t xml:space="preserve"> </w:t>
      </w:r>
      <w:r>
        <w:t xml:space="preserve">adopting her metaphysics — and should say so, because a reader who has just</w:t>
      </w:r>
      <w:r>
        <w:t xml:space="preserve"> </w:t>
      </w:r>
      <w:r>
        <w:t xml:space="preserve">finished her book will ask.</w:t>
      </w:r>
    </w:p>
    <w:bookmarkEnd w:id="13"/>
    <w:bookmarkStart w:id="14" w:name="the-mechanism-we-lacked"/>
    <w:p>
      <w:pPr>
        <w:pStyle w:val="Heading2"/>
      </w:pPr>
      <w:r>
        <w:t xml:space="preserve">The mechanism we lacked</w:t>
      </w:r>
    </w:p>
    <w:p>
      <w:pPr>
        <w:pStyle w:val="FirstParagraph"/>
      </w:pPr>
      <w:r>
        <w:rPr>
          <w:b/>
          <w:bCs/>
        </w:rPr>
        <w:t xml:space="preserve">The corpus cannot distinguish description from prescription.</w:t>
      </w:r>
      <w:r>
        <w:t xml:space="preserve"> </w:t>
      </w:r>
      <w:r>
        <w:t xml:space="preserve">Lepore’s</w:t>
      </w:r>
      <w:r>
        <w:t xml:space="preserve"> </w:t>
      </w:r>
      <w:r>
        <w:t xml:space="preserve">reading of the founders — warnings consumed as manuals — explains something</w:t>
      </w:r>
      <w:r>
        <w:t xml:space="preserve"> </w:t>
      </w:r>
      <w:r>
        <w:t xml:space="preserve">our Chapter II only asserted: why the quarantine designs failed. A model</w:t>
      </w:r>
      <w:r>
        <w:t xml:space="preserve"> </w:t>
      </w:r>
      <w:r>
        <w:t xml:space="preserve">trained on the whole archive ingests the warnings with the blueprints,</w:t>
      </w:r>
      <w:r>
        <w:t xml:space="preserve"> </w:t>
      </w:r>
      <w:r>
        <w:t xml:space="preserve">the satire with the sales pitch, and has no faculty that says</w:t>
      </w:r>
      <w:r>
        <w:t xml:space="preserve"> </w:t>
      </w:r>
      <w:r>
        <w:rPr>
          <w:i/>
          <w:iCs/>
        </w:rPr>
        <w:t xml:space="preserve">this text is</w:t>
      </w:r>
      <w:r>
        <w:rPr>
          <w:i/>
          <w:iCs/>
        </w:rPr>
        <w:t xml:space="preserve"> </w:t>
      </w:r>
      <w:r>
        <w:rPr>
          <w:i/>
          <w:iCs/>
        </w:rPr>
        <w:t xml:space="preserve">against the thing it depicts</w:t>
      </w:r>
      <w:r>
        <w:t xml:space="preserve">. The same is true aesthetically: the corpus</w:t>
      </w:r>
      <w:r>
        <w:t xml:space="preserve"> </w:t>
      </w:r>
      <w:r>
        <w:t xml:space="preserve">contains a century of critiques of spectacle, and what the machine learned</w:t>
      </w:r>
      <w:r>
        <w:t xml:space="preserve"> </w:t>
      </w:r>
      <w:r>
        <w:t xml:space="preserve">from them was how to make better spectacle. That is not malice. It is what</w:t>
      </w:r>
      <w:r>
        <w:t xml:space="preserve"> </w:t>
      </w:r>
      <w:r>
        <w:t xml:space="preserve">happens when a distribution has no speaker.</w:t>
      </w:r>
    </w:p>
    <w:bookmarkEnd w:id="14"/>
    <w:bookmarkStart w:id="15" w:name="method-note"/>
    <w:p>
      <w:pPr>
        <w:pStyle w:val="Heading2"/>
      </w:pPr>
      <w:r>
        <w:t xml:space="preserve">Method note</w:t>
      </w:r>
    </w:p>
    <w:p>
      <w:pPr>
        <w:pStyle w:val="FirstParagraph"/>
      </w:pPr>
      <w:r>
        <w:t xml:space="preserve">Her instrument is the archive read at length by one historian; ours is the</w:t>
      </w:r>
      <w:r>
        <w:t xml:space="preserve"> </w:t>
      </w:r>
      <w:r>
        <w:t xml:space="preserve">dated ladder. She can tell you what Howard Scott’s Technocracy meant in 1933</w:t>
      </w:r>
      <w:r>
        <w:t xml:space="preserve"> </w:t>
      </w:r>
      <w:r>
        <w:t xml:space="preserve">(ch. 2) — we would have flagged it construction. We can tell you the</w:t>
      </w:r>
      <w:r>
        <w:t xml:space="preserve"> </w:t>
      </w:r>
      <w:r>
        <w:t xml:space="preserve">threshold a shipped artifact crossed and when — she would have to argue it</w:t>
      </w:r>
      <w:r>
        <w:t xml:space="preserve"> </w:t>
      </w:r>
      <w:r>
        <w:t xml:space="preserve">narratively. Neither instrument substitutes for the other, and the integrated</w:t>
      </w:r>
      <w:r>
        <w:t xml:space="preserve"> </w:t>
      </w:r>
      <w:r>
        <w:t xml:space="preserve">volume (if it ever exists) needs both: her depth for the texture, our clock</w:t>
      </w:r>
      <w:r>
        <w:t xml:space="preserve"> </w:t>
      </w:r>
      <w:r>
        <w:t xml:space="preserve">for the ordering.</w:t>
      </w:r>
    </w:p>
    <w:bookmarkEnd w:id="15"/>
    <w:bookmarkStart w:id="16" w:name="Xb16021175ad711b918e4ee129bd364775622a4d"/>
    <w:p>
      <w:pPr>
        <w:pStyle w:val="Heading2"/>
      </w:pPr>
      <w:r>
        <w:t xml:space="preserve">Transferable dated rows (candidates for Ch II / Ch 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8"/>
        <w:gridCol w:w="2775"/>
        <w:gridCol w:w="48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1932</w:t>
            </w:r>
          </w:p>
        </w:tc>
        <w:tc>
          <w:tcPr/>
          <w:p>
            <w:pPr>
              <w:pStyle w:val="Compact"/>
            </w:pPr>
            <w:r>
              <w:t xml:space="preserve">“The Cerebral Library”</w:t>
            </w:r>
            <w:r>
              <w:t xml:space="preserve"> </w:t>
            </w:r>
            <w:r>
              <w:t xml:space="preserve">(David H. Keller,</w:t>
            </w:r>
            <w:r>
              <w:t xml:space="preserve"> </w:t>
            </w:r>
            <w:r>
              <w:rPr>
                <w:i/>
                <w:iCs/>
              </w:rPr>
              <w:t xml:space="preserve">Amazing Stories</w:t>
            </w:r>
            <w:r>
              <w:t xml:space="preserve">): 503 readers’ brains wired to answer any question from 750,000 books</w:t>
            </w:r>
          </w:p>
        </w:tc>
        <w:tc>
          <w:tcPr/>
          <w:p>
            <w:pPr>
              <w:pStyle w:val="Compact"/>
            </w:pPr>
            <w:r>
              <w:t xml:space="preserve">anticipation of the LLM query a century early — flagged, verify in Lepore’s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1946 / 1955</w:t>
            </w:r>
          </w:p>
        </w:tc>
        <w:tc>
          <w:tcPr/>
          <w:p>
            <w:pPr>
              <w:pStyle w:val="Compact"/>
            </w:pPr>
            <w:r>
              <w:t xml:space="preserve">Asimov,</w:t>
            </w:r>
            <w:r>
              <w:t xml:space="preserve"> </w:t>
            </w:r>
            <w:r>
              <w:t xml:space="preserve">“Evidence”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“Franchise”</w:t>
            </w:r>
            <w:r>
              <w:t xml:space="preserve">: robot mayor, machine elects the president</w:t>
            </w:r>
          </w:p>
        </w:tc>
        <w:tc>
          <w:tcPr/>
          <w:p>
            <w:pPr>
              <w:pStyle w:val="Compact"/>
            </w:pPr>
            <w:r>
              <w:t xml:space="preserve">the Artificial State is Asimov’s actual subject, not the interiority-test 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1978</w:t>
            </w:r>
          </w:p>
        </w:tc>
        <w:tc>
          <w:tcPr/>
          <w:p>
            <w:pPr>
              <w:pStyle w:val="Compact"/>
            </w:pPr>
            <w:r>
              <w:t xml:space="preserve">Adams,</w:t>
            </w:r>
            <w:r>
              <w:t xml:space="preserve"> </w:t>
            </w:r>
            <w:r>
              <w:rPr>
                <w:i/>
                <w:iCs/>
              </w:rPr>
              <w:t xml:space="preserve">Hitchhiker’s Guide</w:t>
            </w:r>
            <w:r>
              <w:t xml:space="preserve">: satire of Asimov’s Foundation, read by Musk as a lesson in asking better questions</w:t>
            </w:r>
          </w:p>
        </w:tc>
        <w:tc>
          <w:tcPr/>
          <w:p>
            <w:pPr>
              <w:pStyle w:val="Compact"/>
            </w:pPr>
            <w:r>
              <w:t xml:space="preserve">cautionary tale consumed as manual — the mechanism, dated and named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Lepore,</w:t>
            </w:r>
            <w:r>
              <w:t xml:space="preserve"> </w:t>
            </w:r>
            <w:r>
              <w:rPr>
                <w:i/>
                <w:iCs/>
              </w:rPr>
              <w:t xml:space="preserve">The Rise and Fall of the Artificial State</w:t>
            </w:r>
          </w:p>
        </w:tc>
        <w:tc>
          <w:tcPr/>
          <w:p>
            <w:pPr>
              <w:pStyle w:val="Compact"/>
            </w:pPr>
            <w:r>
              <w:t xml:space="preserve">the counter-thesis, in print, with a publisher and a Lanier blurb</w:t>
            </w: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2026-10-19T18:35:08Z</dcterms:created>
  <dcterms:modified xsi:type="dcterms:W3CDTF">2026-10-19T18:35:08Z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