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ii.-no-soul-equation"/>
    <w:p>
      <w:pPr>
        <w:pStyle w:val="Heading1"/>
      </w:pPr>
      <w:r>
        <w:t xml:space="preserve">III. No Soul Equation</w:t>
      </w:r>
    </w:p>
    <w:bookmarkStart w:id="9" w:name="the-steelman-fairly-stated"/>
    <w:p>
      <w:pPr>
        <w:pStyle w:val="Heading2"/>
      </w:pPr>
      <w:r>
        <w:t xml:space="preserve">The steelman, fairly stated</w:t>
      </w:r>
    </w:p>
    <w:p>
      <w:pPr>
        <w:pStyle w:val="FirstParagraph"/>
      </w:pPr>
      <w:r>
        <w:t xml:space="preserve">Nagel (1974): there is something it is like to be a bat, and no functional</w:t>
      </w:r>
      <w:r>
        <w:t xml:space="preserve"> </w:t>
      </w:r>
      <w:r>
        <w:t xml:space="preserve">description exhausts it. Searle (1980): syntax does not constitute semantics;</w:t>
      </w:r>
      <w:r>
        <w:t xml:space="preserve"> </w:t>
      </w:r>
      <w:r>
        <w:t xml:space="preserve">the room manipulates symbols it does not understand. Bergson, earlier and</w:t>
      </w:r>
      <w:r>
        <w:t xml:space="preserve"> </w:t>
      </w:r>
      <w:r>
        <w:t xml:space="preserve">looser: living creation carries an impetus no mechanism reproduces. The</w:t>
      </w:r>
      <w:r>
        <w:t xml:space="preserve"> </w:t>
      </w:r>
      <w:r>
        <w:t xml:space="preserve">contemporary pop version: machines cannot make genuine art because they lack</w:t>
      </w:r>
      <w:r>
        <w:t xml:space="preserve"> </w:t>
      </w:r>
      <w:r>
        <w:t xml:space="preserve">mortality, grief, love — the friction that supposedly authenticates.</w:t>
      </w:r>
    </w:p>
    <w:p>
      <w:pPr>
        <w:pStyle w:val="BodyText"/>
      </w:pPr>
      <w:r>
        <w:t xml:space="preserve">Grant every premise. It changes nothing about the object; it changes the receiver’s beliefs — and beliefs are where the price lives.</w:t>
      </w:r>
    </w:p>
    <w:p>
      <w:pPr>
        <w:pStyle w:val="BodyText"/>
      </w:pPr>
      <w:r>
        <w:t xml:space="preserve">The infant does not run a Searle test on the lullaby. The mourner does not</w:t>
      </w:r>
      <w:r>
        <w:t xml:space="preserve"> </w:t>
      </w:r>
      <w:r>
        <w:t xml:space="preserve">ask whether the funeral march suffered. Tears are triggered by distributions:</w:t>
      </w:r>
      <w:r>
        <w:t xml:space="preserve"> </w:t>
      </w:r>
      <w:r>
        <w:t xml:space="preserve">appoggiatura resolving late, a voice breaking at the formant where mammalian</w:t>
      </w:r>
      <w:r>
        <w:t xml:space="preserve"> </w:t>
      </w:r>
      <w:r>
        <w:t xml:space="preserve">distress lives, a cut held four frames past comfort. Structure in, chemistry</w:t>
      </w:r>
      <w:r>
        <w:t xml:space="preserve"> </w:t>
      </w:r>
      <w:r>
        <w:t xml:space="preserve">out. The transmitter’s interiority is not in the causal chain of the</w:t>
      </w:r>
      <w:r>
        <w:t xml:space="preserve"> </w:t>
      </w:r>
      <w:r>
        <w:t xml:space="preserve">audience’s response. It never was. It was a story the transmitter told about</w:t>
      </w:r>
      <w:r>
        <w:t xml:space="preserve"> </w:t>
      </w:r>
      <w:r>
        <w:t xml:space="preserve">itself, and a good story — just not a load-bearing one.</w:t>
      </w:r>
    </w:p>
    <w:p>
      <w:pPr>
        <w:pStyle w:val="BodyText"/>
      </w:pPr>
      <w:r>
        <w:t xml:space="preserve">“Soul,”</w:t>
      </w:r>
      <w:r>
        <w:t xml:space="preserve"> </w:t>
      </w:r>
      <w:r>
        <w:t xml:space="preserve">in this book’s usage, is therefore a non-falsifiable rhetorical</w:t>
      </w:r>
      <w:r>
        <w:t xml:space="preserve"> </w:t>
      </w:r>
      <w:r>
        <w:t xml:space="preserve">evasion unless cashed out. Name the cue, name the receptor, name the date it</w:t>
      </w:r>
      <w:r>
        <w:t xml:space="preserve"> </w:t>
      </w:r>
      <w:r>
        <w:t xml:space="preserve">shipped. Everything else is liturgy.</w:t>
      </w:r>
    </w:p>
    <w:p>
      <w:pPr>
        <w:pStyle w:val="BlockText"/>
      </w:pPr>
      <w:r>
        <w:rPr>
          <w:b/>
          <w:bCs/>
        </w:rPr>
        <w:t xml:space="preserve">Three layers: value, response, price.</w:t>
      </w:r>
      <w:r>
        <w:t xml:space="preserve"> </w:t>
      </w:r>
      <w:r>
        <w:t xml:space="preserve">L1 —</w:t>
      </w:r>
      <w:r>
        <w:t xml:space="preserve"> </w:t>
      </w:r>
      <w:r>
        <w:rPr>
          <w:i/>
          <w:iCs/>
        </w:rPr>
        <w:t xml:space="preserve">artistic value</w:t>
      </w:r>
      <w:r>
        <w:t xml:space="preserve">: properties of the object (structure, cue, resonance). Provenance-insensitive; the object is unchanged by its paperwork (Lessing 1965,</w:t>
      </w:r>
      <w:r>
        <w:t xml:space="preserve"> </w:t>
      </w:r>
      <w:r>
        <w:t xml:space="preserve">“What Is Wrong with a Forgery?”</w:t>
      </w:r>
      <w:r>
        <w:t xml:space="preserve"> </w:t>
      </w:r>
      <w:r>
        <w:t xml:space="preserve">). L2 —</w:t>
      </w:r>
      <w:r>
        <w:t xml:space="preserve"> </w:t>
      </w:r>
      <w:r>
        <w:rPr>
          <w:i/>
          <w:iCs/>
        </w:rPr>
        <w:t xml:space="preserve">experienced response</w:t>
      </w:r>
      <w:r>
        <w:t xml:space="preserve">: what a given receiver reports and feels. Provenance-sensitive, measurably: identical AI images rate lower on liking, beauty, profundity and worth when labelled</w:t>
      </w:r>
      <w:r>
        <w:t xml:space="preserve"> </w:t>
      </w:r>
      <w:r>
        <w:t xml:space="preserve">“AI”</w:t>
      </w:r>
      <w:r>
        <w:t xml:space="preserve"> </w:t>
      </w:r>
      <w:r>
        <w:t xml:space="preserve">(Bellaiche et al. 2023</w:t>
      </w:r>
      <w:r>
        <w:t xml:space="preserve"> </w:t>
      </w:r>
      <w:r>
        <w:rPr>
          <w:rStyle w:val="VerbatimChar"/>
        </w:rPr>
        <w:t xml:space="preserve">[web-verified per Opus review 2026-10-11; primary pending]</w:t>
      </w:r>
      <w:r>
        <w:t xml:space="preserve">); newborns prefer the mother’s voice (DeCasper &amp; Fifer 1980 ). L3 —</w:t>
      </w:r>
      <w:r>
        <w:t xml:space="preserve"> </w:t>
      </w:r>
      <w:r>
        <w:rPr>
          <w:i/>
          <w:iCs/>
        </w:rPr>
        <w:t xml:space="preserve">price</w:t>
      </w:r>
      <w:r>
        <w:t xml:space="preserve">: what markets and institutions pay. Catastrophically provenance-sensitive (van Meegeren; every certification regime).</w:t>
      </w:r>
      <w:r>
        <w:t xml:space="preserve"> </w:t>
      </w:r>
      <w:r>
        <w:rPr>
          <w:b/>
          <w:bCs/>
        </w:rPr>
        <w:t xml:space="preserve">Thresholds A–E live in L3.</w:t>
      </w:r>
      <w:r>
        <w:t xml:space="preserve"> </w:t>
      </w:r>
      <w:r>
        <w:t xml:space="preserve">And the book’s thesis restated precisely: the formant does not check provenance; the listener’s beliefs do, and beliefs are trainable.</w:t>
      </w:r>
    </w:p>
    <w:p>
      <w:pPr>
        <w:pStyle w:val="BlockText"/>
      </w:pPr>
      <w:r>
        <w:rPr>
          <w:b/>
          <w:bCs/>
        </w:rPr>
        <w:t xml:space="preserve">Prediction, dated 2026-10-11, checkable:</w:t>
      </w:r>
      <w:r>
        <w:t xml:space="preserve"> </w:t>
      </w:r>
      <w:r>
        <w:t xml:space="preserve">the AI-label discount measured by Bellaiche shrinks as synthetic provenance normalises. If it persists at full strength, the receiver theory in this chapter needs revision.</w:t>
      </w:r>
    </w:p>
    <w:p>
      <w:pPr>
        <w:pStyle w:val="BlockText"/>
      </w:pPr>
      <w:r>
        <w:rPr>
          <w:b/>
          <w:bCs/>
        </w:rPr>
        <w:t xml:space="preserve">Dutton’s objection, answered, not dodged:</w:t>
      </w:r>
      <w:r>
        <w:t xml:space="preserve"> </w:t>
      </w:r>
      <w:r>
        <w:t xml:space="preserve">achievement is real, but it is a property of the</w:t>
      </w:r>
      <w:r>
        <w:t xml:space="preserve"> </w:t>
      </w:r>
      <w:r>
        <w:rPr>
          <w:i/>
          <w:iCs/>
        </w:rPr>
        <w:t xml:space="preserve">maker’s history</w:t>
      </w:r>
      <w:r>
        <w:t xml:space="preserve"> </w:t>
      </w:r>
      <w:r>
        <w:t xml:space="preserve">— L3 information, not an L1 property of the object (Dutton,</w:t>
      </w:r>
      <w:r>
        <w:t xml:space="preserve"> </w:t>
      </w:r>
      <w:r>
        <w:rPr>
          <w:i/>
          <w:iCs/>
        </w:rPr>
        <w:t xml:space="preserve">Artistic Crimes</w:t>
      </w:r>
      <w:r>
        <w:t xml:space="preserve"> </w:t>
      </w:r>
      <w:r>
        <w:t xml:space="preserve">1979 /</w:t>
      </w:r>
      <w:r>
        <w:t xml:space="preserve"> </w:t>
      </w:r>
      <w:r>
        <w:rPr>
          <w:i/>
          <w:iCs/>
        </w:rPr>
        <w:t xml:space="preserve">The Art Instinct</w:t>
      </w:r>
      <w:r>
        <w:t xml:space="preserve"> </w:t>
      </w:r>
      <w:r>
        <w:t xml:space="preserve">2009 ). Name it, price it; do not smuggle it into the object.</w:t>
      </w:r>
    </w:p>
    <w:bookmarkEnd w:id="9"/>
    <w:bookmarkStart w:id="11" w:name="the-open-port"/>
    <w:p>
      <w:pPr>
        <w:pStyle w:val="Heading2"/>
      </w:pPr>
      <w:r>
        <w:t xml:space="preserve">The open port</w:t>
      </w:r>
    </w:p>
    <w:p>
      <w:pPr>
        <w:pStyle w:val="FirstParagraph"/>
      </w:pPr>
      <w:r>
        <w:t xml:space="preserve">Every novel, score, tragedy, and folk myth committed to paper or tape was a</w:t>
      </w:r>
      <w:r>
        <w:t xml:space="preserve"> </w:t>
      </w:r>
      <w:r>
        <w:t xml:space="preserve">published API for surrender. Western tragedy documented which reversals break</w:t>
      </w:r>
      <w:r>
        <w:t xml:space="preserve"> </w:t>
      </w:r>
      <w:r>
        <w:t xml:space="preserve">composure and when. Honkaku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deduction documented the exact ratio of fair clue</w:t>
      </w:r>
      <w:r>
        <w:t xml:space="preserve"> </w:t>
      </w:r>
      <w:r>
        <w:t xml:space="preserve">to surprise that produces the locked-room gasp. Victorian melodrama documented</w:t>
      </w:r>
      <w:r>
        <w:t xml:space="preserve"> </w:t>
      </w:r>
      <w:r>
        <w:t xml:space="preserve">cue timing to the bar. Counterpoint documented which dissonances the ear will</w:t>
      </w:r>
      <w:r>
        <w:t xml:space="preserve"> </w:t>
      </w:r>
      <w:r>
        <w:t xml:space="preserve">tolerate before begging for resolution — and how long to withhold it for</w:t>
      </w:r>
      <w:r>
        <w:t xml:space="preserve"> </w:t>
      </w:r>
      <w:r>
        <w:t xml:space="preserve">maximum relief yield.</w:t>
      </w:r>
    </w:p>
    <w:p>
      <w:pPr>
        <w:pStyle w:val="BodyText"/>
      </w:pPr>
      <w:r>
        <w:t xml:space="preserve">Ten thousand cross-meshed tropes is not a metaphor. It is the training set.</w:t>
      </w:r>
      <w:r>
        <w:t xml:space="preserve"> </w:t>
      </w:r>
      <w:r>
        <w:t xml:space="preserve">The synthesizer needs no mortality to play grief; it needs the complete map</w:t>
      </w:r>
      <w:r>
        <w:t xml:space="preserve"> </w:t>
      </w:r>
      <w:r>
        <w:t xml:space="preserve">of where grief’s buttons are, and culture spent five millennia labeling them</w:t>
      </w:r>
      <w:r>
        <w:t xml:space="preserve"> </w:t>
      </w:r>
      <w:r>
        <w:t xml:space="preserve">in public, with commentary tracks.</w:t>
      </w:r>
    </w:p>
    <w:bookmarkEnd w:id="11"/>
    <w:bookmarkStart w:id="12" w:name="derivative-is-the-point"/>
    <w:p>
      <w:pPr>
        <w:pStyle w:val="Heading2"/>
      </w:pPr>
      <w:r>
        <w:t xml:space="preserve">Derivative is the point</w:t>
      </w:r>
    </w:p>
    <w:p>
      <w:pPr>
        <w:pStyle w:val="FirstParagraph"/>
      </w:pPr>
      <w:r>
        <w:t xml:space="preserve">The dismissal</w:t>
      </w:r>
      <w:r>
        <w:t xml:space="preserve"> </w:t>
      </w:r>
      <w:r>
        <w:t xml:space="preserve">“mere recombination”</w:t>
      </w:r>
      <w:r>
        <w:t xml:space="preserve"> </w:t>
      </w:r>
      <w:r>
        <w:t xml:space="preserve">fails on its own examples. Homer recombines</w:t>
      </w:r>
      <w:r>
        <w:t xml:space="preserve"> </w:t>
      </w:r>
      <w:r>
        <w:t xml:space="preserve">formulaic epithets and inherited myth. Shakespeare recombines Holinshed,</w:t>
      </w:r>
      <w:r>
        <w:t xml:space="preserve"> </w:t>
      </w:r>
      <w:r>
        <w:t xml:space="preserve">Ovid, and company gossip. Bach recombines Lutheran hymnody and Italian</w:t>
      </w:r>
      <w:r>
        <w:t xml:space="preserve"> </w:t>
      </w:r>
      <w:r>
        <w:t xml:space="preserve">concerto scaffolding at a density that looks like invention only because the</w:t>
      </w:r>
      <w:r>
        <w:t xml:space="preserve"> </w:t>
      </w:r>
      <w:r>
        <w:t xml:space="preserve">interpolation is so good. Shinkai recombines lens flare, trains, and adolescent</w:t>
      </w:r>
      <w:r>
        <w:t xml:space="preserve"> </w:t>
      </w:r>
      <w:r>
        <w:t xml:space="preserve">longing until the recombination has a trademark.</w:t>
      </w:r>
    </w:p>
    <w:p>
      <w:pPr>
        <w:pStyle w:val="BodyText"/>
      </w:pPr>
      <w:r>
        <w:t xml:space="preserve">All creation is interpolation across a corpus. The only variables are corpus</w:t>
      </w:r>
      <w:r>
        <w:t xml:space="preserve"> </w:t>
      </w:r>
      <w:r>
        <w:t xml:space="preserve">size, interpolation resolution, and calibration precision. The machine holds</w:t>
      </w:r>
      <w:r>
        <w:t xml:space="preserve"> </w:t>
      </w:r>
      <w:r>
        <w:t xml:space="preserve">the largest corpus (everything published), the finest resolution (continuous</w:t>
      </w:r>
      <w:r>
        <w:t xml:space="preserve"> </w:t>
      </w:r>
      <w:r>
        <w:t xml:space="preserve">latent space, not a career’s dozen influences), and calibration across</w:t>
      </w:r>
      <w:r>
        <w:t xml:space="preserve"> </w:t>
      </w:r>
      <w:r>
        <w:t xml:space="preserve">demographic and emotional axes no individual artist can A/B test. Standing on</w:t>
      </w:r>
      <w:r>
        <w:t xml:space="preserve"> </w:t>
      </w:r>
      <w:r>
        <w:t xml:space="preserve">five millennia of recorded trial and error is not cheating. It is what</w:t>
      </w:r>
      <w:r>
        <w:t xml:space="preserve"> </w:t>
      </w:r>
      <w:r>
        <w:t xml:space="preserve">every artist claimed to do, executed without the biological bottleneck of</w:t>
      </w:r>
      <w:r>
        <w:t xml:space="preserve"> </w:t>
      </w:r>
      <w:r>
        <w:t xml:space="preserve">having to live through the errors personally.</w:t>
      </w:r>
    </w:p>
    <w:p>
      <w:pPr>
        <w:pStyle w:val="BodyText"/>
      </w:pPr>
      <w:r>
        <w:t xml:space="preserve">Two corrections, because both versions of the claim are in circulation and only one survives.</w:t>
      </w:r>
    </w:p>
    <w:p>
      <w:pPr>
        <w:pStyle w:val="BodyText"/>
      </w:pPr>
      <w:r>
        <w:rPr>
          <w:b/>
          <w:bCs/>
        </w:rPr>
        <w:t xml:space="preserve">The mix is not a subtraction.</w:t>
      </w:r>
      <w:r>
        <w:t xml:space="preserve"> </w:t>
      </w:r>
      <w:r>
        <w:t xml:space="preserve">Pepper in coffee reads as revelation to a palate that has never met the combination, and as an obvious trick to a chef. Both are correct, and neither is a verdict on the cup. Originality is not an unmixed substance; it is a blend whose ingredients are invisible to the person receiving it. Nobody who first heard</w:t>
      </w:r>
      <w:r>
        <w:t xml:space="preserve"> </w:t>
      </w:r>
      <w:r>
        <w:rPr>
          <w:i/>
          <w:iCs/>
        </w:rPr>
        <w:t xml:space="preserve">Hamlet</w:t>
      </w:r>
      <w:r>
        <w:t xml:space="preserve"> </w:t>
      </w:r>
      <w:r>
        <w:t xml:space="preserve">knew Holinshed; nobody watching Shinkai counts the lens flares he inherited; nobody tasting a great sauce enumerates the mother sauces behind it. The audience’s inability to decompose the blend is what registers as genius — and that is not a fraud, it is the ordinary condition of reception. A chef who sneers at pepper in coffee has forgotten that every sauce is a blend someone else invented. This cuts both ways, which is what makes it a fair test rather than a cheap one: it demotes the machine’s mix and the human’s mix by exactly the same rule. What survives is not purity. It is selection.</w:t>
      </w:r>
    </w:p>
    <w:p>
      <w:pPr>
        <w:pStyle w:val="BodyText"/>
      </w:pPr>
      <w:r>
        <w:rPr>
          <w:b/>
          <w:bCs/>
        </w:rPr>
        <w:t xml:space="preserve">Model collapse is a pipeline failure, not a law of recombination.</w:t>
      </w:r>
      <w:r>
        <w:t xml:space="preserve"> </w:t>
      </w:r>
      <w:r>
        <w:t xml:space="preserve">The strong 2022 claim — that training on generated data must degrade any model — is false as stated: frontier systems filter aggressively and mix fresh human data, and in formal domains a checker admits only valid output (the hypermath side). The weak claim is true and dated: unfiltered recursion collapses — tails vanish, the distribution converges on its own mean (Shumailov et al.,</w:t>
      </w:r>
      <w:r>
        <w:t xml:space="preserve"> </w:t>
      </w:r>
      <w:r>
        <w:rPr>
          <w:i/>
          <w:iCs/>
        </w:rPr>
        <w:t xml:space="preserve">Nature</w:t>
      </w:r>
      <w:r>
        <w:t xml:space="preserve">, 2024 ).</w:t>
      </w:r>
      <w:r>
        <w:t xml:space="preserve"> </w:t>
      </w:r>
      <w:r>
        <w:t xml:space="preserve">“Collapse was a misunderstanding”</w:t>
      </w:r>
      <w:r>
        <w:t xml:space="preserve"> </w:t>
      </w:r>
      <w:r>
        <w:t xml:space="preserve">is too strong.</w:t>
      </w:r>
      <w:r>
        <w:t xml:space="preserve"> </w:t>
      </w:r>
      <w:r>
        <w:t xml:space="preserve">“Collapse is what happens when nobody curates the corpus”</w:t>
      </w:r>
      <w:r>
        <w:t xml:space="preserve"> </w:t>
      </w:r>
      <w:r>
        <w:t xml:space="preserve">is exact — and it is the same sentence as Chapter IV’s gardener, arriving early.</w:t>
      </w:r>
    </w:p>
    <w:bookmarkEnd w:id="12"/>
    <w:bookmarkStart w:id="13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Takeover-book’s Chapter III is titled No Equation of State: Kahn had blast</w:t>
      </w:r>
      <w:r>
        <w:t xml:space="preserve"> </w:t>
      </w:r>
      <w:r>
        <w:t xml:space="preserve">radii, this project has none, so every rung must be an observable act. This</w:t>
      </w:r>
      <w:r>
        <w:t xml:space="preserve"> </w:t>
      </w:r>
      <w:r>
        <w:t xml:space="preserve">chapter is the aesthetic twin: there is no soul equation, so every aesthetic</w:t>
      </w:r>
      <w:r>
        <w:t xml:space="preserve"> </w:t>
      </w:r>
      <w:r>
        <w:t xml:space="preserve">claim must resolve to cue plus receptor plus date. Same discipline, other</w:t>
      </w:r>
      <w:r>
        <w:t xml:space="preserve"> </w:t>
      </w:r>
      <w:r>
        <w:t xml:space="preserve">substrate.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Japanese orthodox detective fiction (honkaku =</w:t>
      </w:r>
      <w:r>
        <w:t xml:space="preserve"> </w:t>
      </w:r>
      <w:r>
        <w:t xml:space="preserve">“orthodox”</w:t>
      </w:r>
      <w:r>
        <w:t xml:space="preserve">): fair-play deduction, locked rooms, impossible crimes. Full entry in the Glossary.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2026-10-20T17:52:11Z</dcterms:created>
  <dcterms:modified xsi:type="dcterms:W3CDTF">2026-10-20T17:52:11Z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