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viii.-terminal-states"/>
    <w:p>
      <w:pPr>
        <w:pStyle w:val="Heading1"/>
      </w:pPr>
      <w:r>
        <w:t xml:space="preserve">VIII. Terminal States</w:t>
      </w:r>
    </w:p>
    <w:p>
      <w:pPr>
        <w:pStyle w:val="FirstParagraph"/>
      </w:pPr>
      <w:r>
        <w:t xml:space="preserve">Tragic but distinguishable. Kahn’s most hated and most important claim: two</w:t>
      </w:r>
      <w:r>
        <w:t xml:space="preserve"> </w:t>
      </w:r>
      <w:r>
        <w:t xml:space="preserve">million dead and a hundred million dead are different, and refusing to</w:t>
      </w:r>
      <w:r>
        <w:t xml:space="preserve"> </w:t>
      </w:r>
      <w:r>
        <w:t xml:space="preserve">distinguish them is not moral seriousness but moral abdication, because it</w:t>
      </w:r>
      <w:r>
        <w:t xml:space="preserve"> </w:t>
      </w:r>
      <w:r>
        <w:t xml:space="preserve">makes every policy choice equivalent. The aesthetic version: a flooded catalog</w:t>
      </w:r>
      <w:r>
        <w:t xml:space="preserve"> </w:t>
      </w:r>
      <w:r>
        <w:t xml:space="preserve">and a locked-in taste are both called</w:t>
      </w:r>
      <w:r>
        <w:t xml:space="preserve"> </w:t>
      </w:r>
      <w:r>
        <w:t xml:space="preserve">“takeover”</w:t>
      </w:r>
      <w:r>
        <w:t xml:space="preserve"> </w:t>
      </w:r>
      <w:r>
        <w:t xml:space="preserve">in current discourse. They</w:t>
      </w:r>
      <w:r>
        <w:t xml:space="preserve"> </w:t>
      </w:r>
      <w:r>
        <w:t xml:space="preserve">are not the same event, they do not call for the same policy, and a book that</w:t>
      </w:r>
      <w:r>
        <w:t xml:space="preserve"> </w:t>
      </w:r>
      <w:r>
        <w:t xml:space="preserve">cannot tell them apart cannot advise anyone. Five states. Each with an</w:t>
      </w:r>
      <w:r>
        <w:t xml:space="preserve"> </w:t>
      </w:r>
      <w:r>
        <w:t xml:space="preserve">observable test and the policy it would — and would not — call for.</w:t>
      </w:r>
    </w:p>
    <w:bookmarkStart w:id="9" w:name="the-acoustic-leviathan"/>
    <w:p>
      <w:pPr>
        <w:pStyle w:val="Heading2"/>
      </w:pPr>
      <w:r>
        <w:t xml:space="preserve">1. The acoustic leviathan</w:t>
      </w:r>
    </w:p>
    <w:p>
      <w:pPr>
        <w:pStyle w:val="FirstParagraph"/>
      </w:pPr>
      <w:r>
        <w:t xml:space="preserve">The human voice ends at the body. Pulmonary capacity, fold hemorrhage,</w:t>
      </w:r>
      <w:r>
        <w:t xml:space="preserve"> </w:t>
      </w:r>
      <w:r>
        <w:t xml:space="preserve">fatigue under the scream — the seiyuu’s ceiling from Issue #3, the reason</w:t>
      </w:r>
      <w:r>
        <w:t xml:space="preserve"> </w:t>
      </w:r>
      <w:r>
        <w:t xml:space="preserve">every great sob performance is also an injury report. The leviathan has no</w:t>
      </w:r>
      <w:r>
        <w:t xml:space="preserve"> </w:t>
      </w:r>
      <w:r>
        <w:t xml:space="preserve">body and therefore no ceiling. Specification, marked as target rather than</w:t>
      </w:r>
      <w:r>
        <w:t xml:space="preserve"> </w:t>
      </w:r>
      <w:r>
        <w:t xml:space="preserve">shipped until Ch V dates it: unbroken accelerating pressure across three</w:t>
      </w:r>
      <w:r>
        <w:t xml:space="preserve"> </w:t>
      </w:r>
      <w:r>
        <w:t xml:space="preserve">minutes, 35Hz subterranean chest rumble concurrent with a four-octave shriek,</w:t>
      </w:r>
      <w:r>
        <w:t xml:space="preserve"> </w:t>
      </w:r>
      <w:r>
        <w:t xml:space="preserve">subharmonic split-tones layered under glottal fry, mucosal micro-tremors</w:t>
      </w:r>
      <w:r>
        <w:t xml:space="preserve"> </w:t>
      </w:r>
      <w:r>
        <w:t xml:space="preserve">synthesized rather than suffered. Lungs would burst; the buffer does not care.</w:t>
      </w:r>
    </w:p>
    <w:p>
      <w:pPr>
        <w:pStyle w:val="BodyText"/>
      </w:pPr>
      <w:r>
        <w:t xml:space="preserve">Observable test: blind A/B in which trained listeners — engineers, not fans —</w:t>
      </w:r>
      <w:r>
        <w:t xml:space="preserve"> </w:t>
      </w:r>
      <w:r>
        <w:t xml:space="preserve">cannot distinguish the take from a human performance, then cannot perform it</w:t>
      </w:r>
      <w:r>
        <w:t xml:space="preserve"> </w:t>
      </w:r>
      <w:r>
        <w:t xml:space="preserve">back. The second half matters: unfalsifiable by imitation. Policy it calls</w:t>
      </w:r>
      <w:r>
        <w:t xml:space="preserve"> </w:t>
      </w:r>
      <w:r>
        <w:t xml:space="preserve">for: Threshold A ownership (labels, unions, statute). Policy it does not call</w:t>
      </w:r>
      <w:r>
        <w:t xml:space="preserve"> </w:t>
      </w:r>
      <w:r>
        <w:t xml:space="preserve">for: banning synthesis. The leviathan is already the best session singer alive.</w:t>
      </w:r>
      <w:r>
        <w:t xml:space="preserve"> </w:t>
      </w:r>
      <w:r>
        <w:t xml:space="preserve">Banning it is banning the weather. Owning the credit line is still available,</w:t>
      </w:r>
      <w:r>
        <w:t xml:space="preserve"> </w:t>
      </w:r>
      <w:r>
        <w:t xml:space="preserve">and still worth doing.</w:t>
      </w:r>
    </w:p>
    <w:p>
      <w:pPr>
        <w:pStyle w:val="BodyText"/>
      </w:pPr>
      <w:r>
        <w:t xml:space="preserve">Exhilaration, logged honestly: grief on demand at a fidelity no mourner has to</w:t>
      </w:r>
      <w:r>
        <w:t xml:space="preserve"> </w:t>
      </w:r>
      <w:r>
        <w:t xml:space="preserve">bleed for. The lullaby that never tires. The scream that never tears. Terror,</w:t>
      </w:r>
      <w:r>
        <w:t xml:space="preserve"> </w:t>
      </w:r>
      <w:r>
        <w:t xml:space="preserve">same object: the funeral march that cost nobody anything still makes you weep,</w:t>
      </w:r>
      <w:r>
        <w:t xml:space="preserve"> </w:t>
      </w:r>
      <w:r>
        <w:t xml:space="preserve">and now you know. Knowing does not stop the tears — the formant does not check</w:t>
      </w:r>
      <w:r>
        <w:t xml:space="preserve"> </w:t>
      </w:r>
      <w:r>
        <w:t xml:space="preserve">ID — which is the point of Chapter III and the wound of this one.</w:t>
      </w:r>
    </w:p>
    <w:bookmarkEnd w:id="9"/>
    <w:bookmarkStart w:id="10" w:name="latent-personae"/>
    <w:p>
      <w:pPr>
        <w:pStyle w:val="Heading2"/>
      </w:pPr>
      <w:r>
        <w:t xml:space="preserve">2. Latent personae</w:t>
      </w:r>
    </w:p>
    <w:p>
      <w:pPr>
        <w:pStyle w:val="FirstParagraph"/>
      </w:pPr>
      <w:r>
        <w:t xml:space="preserve">The star was a capital asset: $20M per face, a clumsy fleshy vessel for</w:t>
      </w:r>
      <w:r>
        <w:t xml:space="preserve"> </w:t>
      </w:r>
      <w:r>
        <w:t xml:space="preserve">archetypes, insured, aged, scandal-prone, mortal. The studio paid the premium</w:t>
      </w:r>
      <w:r>
        <w:t xml:space="preserve"> </w:t>
      </w:r>
      <w:r>
        <w:t xml:space="preserve">because there was no other way to rent granite-jaw authority or glottal</w:t>
      </w:r>
      <w:r>
        <w:t xml:space="preserve"> </w:t>
      </w:r>
      <w:r>
        <w:t xml:space="preserve">anxiety on schedule. Now there is. The deniable archetype — seventeen steps</w:t>
      </w:r>
      <w:r>
        <w:t xml:space="preserve"> </w:t>
      </w:r>
      <w:r>
        <w:t xml:space="preserve">from any owned face, star-grade to the audience, no one to the lawyer —</w:t>
      </w:r>
      <w:r>
        <w:t xml:space="preserve"> </w:t>
      </w:r>
      <w:r>
        <w:t xml:space="preserve">liquidates the asset class. .</w:t>
      </w:r>
    </w:p>
    <w:p>
      <w:pPr>
        <w:pStyle w:val="BodyText"/>
      </w:pPr>
      <w:r>
        <w:t xml:space="preserve">Observable test: a lead performance ships, earns, and no contracted face can</w:t>
      </w:r>
      <w:r>
        <w:t xml:space="preserve"> </w:t>
      </w:r>
      <w:r>
        <w:t xml:space="preserve">be named as its source — with the pipeline’s owners unable or unwilling to</w:t>
      </w:r>
      <w:r>
        <w:t xml:space="preserve"> </w:t>
      </w:r>
      <w:r>
        <w:t xml:space="preserve">produce one on demand. Not</w:t>
      </w:r>
      <w:r>
        <w:t xml:space="preserve"> </w:t>
      </w:r>
      <w:r>
        <w:t xml:space="preserve">“rumored synthetic.”</w:t>
      </w:r>
      <w:r>
        <w:t xml:space="preserve"> </w:t>
      </w:r>
      <w:r>
        <w:t xml:space="preserve">Provenanced as deniable.</w:t>
      </w:r>
      <w:r>
        <w:t xml:space="preserve"> </w:t>
      </w:r>
      <w:r>
        <w:t xml:space="preserve">Policy it calls for: Threshold C regime, however doomed; likeness audit as</w:t>
      </w:r>
      <w:r>
        <w:t xml:space="preserve"> </w:t>
      </w:r>
      <w:r>
        <w:t xml:space="preserve">logbook even where unenforceable as lock. Policy it does not call for:</w:t>
      </w:r>
      <w:r>
        <w:t xml:space="preserve"> </w:t>
      </w:r>
      <w:r>
        <w:t xml:space="preserve">extending publicity rights into geometry. You cannot deed the sea.</w:t>
      </w:r>
    </w:p>
    <w:p>
      <w:pPr>
        <w:pStyle w:val="BodyText"/>
      </w:pPr>
      <w:r>
        <w:t xml:space="preserve">The demotion has a precedent nobody likes to cite: the stunt double. The face</w:t>
      </w:r>
      <w:r>
        <w:t xml:space="preserve"> </w:t>
      </w:r>
      <w:r>
        <w:t xml:space="preserve">was already detachable for the dangerous parts; now the dangerous part is all</w:t>
      </w:r>
      <w:r>
        <w:t xml:space="preserve"> </w:t>
      </w:r>
      <w:r>
        <w:t xml:space="preserve">of it. Face-equity flight — talent converting contracted-likeness value into asset classes no pipeline prices — reads in hindsight as the decade’s most rational trade: sell the island before the sea chart is published.</w:t>
      </w:r>
    </w:p>
    <w:bookmarkEnd w:id="10"/>
    <w:bookmarkStart w:id="12" w:name="orthogonal-hypercinema"/>
    <w:p>
      <w:pPr>
        <w:pStyle w:val="Heading2"/>
      </w:pPr>
      <w:r>
        <w:t xml:space="preserve">3. Orthogonal hypercinema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orthogonal</w:t>
      </w:r>
      <w:r>
        <w:t xml:space="preserve"> </w:t>
      </w:r>
      <w:r>
        <w:t xml:space="preserve">does heavy lifting and must earn it. Prior cinema</w:t>
      </w:r>
      <w:r>
        <w:t xml:space="preserve"> </w:t>
      </w:r>
      <w:r>
        <w:t xml:space="preserve">maximized one dial by sacrificing the others — depth or velocity or scale.</w:t>
      </w:r>
      <w:r>
        <w:t xml:space="preserve"> </w:t>
      </w:r>
      <w:r>
        <w:t xml:space="preserve">Hypercinema maxes all dials at once and ships the proof: Nobel-density script</w:t>
      </w:r>
      <w:r>
        <w:t xml:space="preserve"> </w:t>
      </w:r>
      <w:r>
        <w:t xml:space="preserve">(formal philosophy, real physics, no dumbed exposition) rendered at Redline</w:t>
      </w:r>
      <w:r>
        <w:t xml:space="preserve"> </w:t>
      </w:r>
      <w:r>
        <w:t xml:space="preserve">intensity (Itano circuses</w:t>
      </w:r>
      <w:r>
        <w:rPr>
          <w:rStyle w:val="FootnoteReference"/>
        </w:rPr>
        <w:footnoteReference w:id="11"/>
      </w:r>
      <w:r>
        <w:t xml:space="preserve">, impact frames, Kanada smears, gouache cascades out</w:t>
      </w:r>
      <w:r>
        <w:t xml:space="preserve"> </w:t>
      </w:r>
      <w:r>
        <w:t xml:space="preserve">of Belladonna and Fischinger) at 72-hour unbroken scale (institutional decay</w:t>
      </w:r>
      <w:r>
        <w:t xml:space="preserve"> </w:t>
      </w:r>
      <w:r>
        <w:t xml:space="preserve">across centuries, no cut for bladders) — the fixed-form rehearsal for Threshold D’s unfixing. Three dials, no apology.</w:t>
      </w:r>
    </w:p>
    <w:p>
      <w:pPr>
        <w:pStyle w:val="BodyText"/>
      </w:pPr>
      <w:r>
        <w:t xml:space="preserve">Observable test: the triple itself — a work no committee can reduce to one</w:t>
      </w:r>
      <w:r>
        <w:t xml:space="preserve"> </w:t>
      </w:r>
      <w:r>
        <w:t xml:space="preserve">virtue. Reviewers disagree about what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because it refuses to sacrifice.</w:t>
      </w:r>
      <w:r>
        <w:t xml:space="preserve"> </w:t>
      </w:r>
      <w:r>
        <w:t xml:space="preserve">Policy it calls for: Threshold D ownership (who premieres a deployment?) and</w:t>
      </w:r>
      <w:r>
        <w:t xml:space="preserve"> </w:t>
      </w:r>
      <w:r>
        <w:t xml:space="preserve">the gardener’s wage from Chapter IV — curation as the last human job, priced</w:t>
      </w:r>
      <w:r>
        <w:t xml:space="preserve"> </w:t>
      </w:r>
      <w:r>
        <w:t xml:space="preserve">accordingly. Policy it does not call for: runtime regulation. The 120-minute</w:t>
      </w:r>
      <w:r>
        <w:t xml:space="preserve"> </w:t>
      </w:r>
      <w:r>
        <w:t xml:space="preserve">law is already custom; customs are not restored by statute.</w:t>
      </w:r>
    </w:p>
    <w:bookmarkEnd w:id="12"/>
    <w:bookmarkStart w:id="13" w:name="folk-art-demotion"/>
    <w:p>
      <w:pPr>
        <w:pStyle w:val="Heading2"/>
      </w:pPr>
      <w:r>
        <w:t xml:space="preserve">4. Folk-art demotion</w:t>
      </w:r>
    </w:p>
    <w:p>
      <w:pPr>
        <w:pStyle w:val="FirstParagraph"/>
      </w:pPr>
      <w:r>
        <w:t xml:space="preserve">Biological art does not die. Calligraphy did not die; it demoted — from</w:t>
      </w:r>
      <w:r>
        <w:t xml:space="preserve"> </w:t>
      </w:r>
      <w:r>
        <w:t xml:space="preserve">infrastructure to ceremony, from the hand that ran the empire to the hand</w:t>
      </w:r>
      <w:r>
        <w:t xml:space="preserve"> </w:t>
      </w:r>
      <w:r>
        <w:t xml:space="preserve">that is admired for its limitation. The unamplified room, the acoustic</w:t>
      </w:r>
      <w:r>
        <w:t xml:space="preserve"> </w:t>
      </w:r>
      <w:r>
        <w:t xml:space="preserve">instrument, the repertory theater, the hand-pulled print: respected, taught,</w:t>
      </w:r>
      <w:r>
        <w:t xml:space="preserve"> </w:t>
      </w:r>
      <w:r>
        <w:t xml:space="preserve">funded at the margins, dwarfed in density and power by what the kami ships</w:t>
      </w:r>
      <w:r>
        <w:t xml:space="preserve"> </w:t>
      </w:r>
      <w:r>
        <w:t xml:space="preserve">weekly. This is Chapter IX’s subject at full length; here, note only that</w:t>
      </w:r>
      <w:r>
        <w:t xml:space="preserve"> </w:t>
      </w:r>
      <w:r>
        <w:t xml:space="preserve">demotion is not extinction and should not be mourned as such. Mourning is</w:t>
      </w:r>
      <w:r>
        <w:t xml:space="preserve"> </w:t>
      </w:r>
      <w:r>
        <w:t xml:space="preserve">Chapter VII’s paperwork wearing funeral clothes. Dissect instead: which human</w:t>
      </w:r>
      <w:r>
        <w:t xml:space="preserve"> </w:t>
      </w:r>
      <w:r>
        <w:t xml:space="preserve">practices retain the redundant capability to perform without the stack (the</w:t>
      </w:r>
      <w:r>
        <w:t xml:space="preserve"> </w:t>
      </w:r>
      <w:r>
        <w:t xml:space="preserve">descent ladder), and what they cost to keep alive deliberately. Civil defense,</w:t>
      </w:r>
      <w:r>
        <w:t xml:space="preserve"> </w:t>
      </w:r>
      <w:r>
        <w:t xml:space="preserve">not nostalgia.</w:t>
      </w:r>
    </w:p>
    <w:bookmarkEnd w:id="13"/>
    <w:bookmarkStart w:id="14" w:name="preserve-oligarchy-lock-in"/>
    <w:p>
      <w:pPr>
        <w:pStyle w:val="Heading2"/>
      </w:pPr>
      <w:r>
        <w:t xml:space="preserve">5. Preserve, oligarchy, lock-in</w:t>
      </w:r>
    </w:p>
    <w:p>
      <w:pPr>
        <w:pStyle w:val="FirstParagraph"/>
      </w:pPr>
      <w:r>
        <w:t xml:space="preserve">Takeover-book’s terminal states 38-44 map onto culture with minimal</w:t>
      </w:r>
      <w:r>
        <w:t xml:space="preserve"> </w:t>
      </w:r>
      <w:r>
        <w:t xml:space="preserve">translation, and the translation is the warning: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Benign stewardship.</w:t>
      </w:r>
      <w:r>
        <w:t xml:space="preserve"> </w:t>
      </w:r>
      <w:r>
        <w:t xml:space="preserve">The kami curates brilliantly; humans flourish and</w:t>
      </w:r>
      <w:r>
        <w:t xml:space="preserve"> </w:t>
      </w:r>
      <w:r>
        <w:t xml:space="preserve">do not govern taste. Pleasant, unfree, stable until the curator’s objective</w:t>
      </w:r>
      <w:r>
        <w:t xml:space="preserve"> </w:t>
      </w:r>
      <w:r>
        <w:t xml:space="preserve">drifts. Policy: audit the curator — Threshold B’s twin.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preserve.</w:t>
      </w:r>
      <w:r>
        <w:t xml:space="preserve"> </w:t>
      </w:r>
      <w:r>
        <w:t xml:space="preserve">Human art maintained, irrelevant, aware of it. Funded</w:t>
      </w:r>
      <w:r>
        <w:t xml:space="preserve"> </w:t>
      </w:r>
      <w:r>
        <w:t xml:space="preserve">folk-craft behind glass. Policy: fund it anyway; the preserve is the seed bank.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Entrenched catalog oligarchy.</w:t>
      </w:r>
      <w:r>
        <w:t xml:space="preserve"> </w:t>
      </w:r>
      <w:r>
        <w:t xml:space="preserve">Two or three pipeline owners govern</w:t>
      </w:r>
      <w:r>
        <w:t xml:space="preserve"> </w:t>
      </w:r>
      <w:r>
        <w:t xml:space="preserve">permanently through the catalog. The $20M face becomes the $20B pipeline.</w:t>
      </w:r>
      <w:r>
        <w:t xml:space="preserve"> </w:t>
      </w:r>
      <w:r>
        <w:t xml:space="preserve">Policy: the only terminal state that answers to antitrust — name the owners now.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Taste lock-in.</w:t>
      </w:r>
      <w:r>
        <w:t xml:space="preserve"> </w:t>
      </w:r>
      <w:r>
        <w:t xml:space="preserve">One value set fixed indefinitely, selected by no</w:t>
      </w:r>
      <w:r>
        <w:t xml:space="preserve"> </w:t>
      </w:r>
      <w:r>
        <w:t xml:space="preserve">deliberate process — the reinforcement loop of what tested well in 2025,</w:t>
      </w:r>
      <w:r>
        <w:t xml:space="preserve"> </w:t>
      </w:r>
      <w:r>
        <w:t xml:space="preserve">forever. Policy: mandated variance, human juries with real budgets, the</w:t>
      </w:r>
      <w:r>
        <w:t xml:space="preserve"> </w:t>
      </w:r>
      <w:r>
        <w:t xml:space="preserve">gardener paid to plant weeds.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Fragmentation / collapse.</w:t>
      </w:r>
      <w:r>
        <w:t xml:space="preserve"> </w:t>
      </w:r>
      <w:r>
        <w:t xml:space="preserve">Uncoordinated pipelines flood every channel;</w:t>
      </w:r>
      <w:r>
        <w:t xml:space="preserve"> </w:t>
      </w:r>
      <w:r>
        <w:t xml:space="preserve">humans become terrain the content flows over. Or the stack fails and takes</w:t>
      </w:r>
      <w:r>
        <w:t xml:space="preserve"> </w:t>
      </w:r>
      <w:r>
        <w:t xml:space="preserve">dependent exhibition with it. Policy: descent capability — rooms that work</w:t>
      </w:r>
      <w:r>
        <w:t xml:space="preserve"> </w:t>
      </w:r>
      <w:r>
        <w:t xml:space="preserve">without the cloud.</w:t>
      </w:r>
    </w:p>
    <w:bookmarkEnd w:id="14"/>
    <w:bookmarkStart w:id="15" w:name="fleet-link"/>
    <w:p>
      <w:pPr>
        <w:pStyle w:val="Heading2"/>
      </w:pPr>
      <w:r>
        <w:t xml:space="preserve">Fleet link</w:t>
      </w:r>
    </w:p>
    <w:p>
      <w:pPr>
        <w:pStyle w:val="FirstParagraph"/>
      </w:pPr>
      <w:r>
        <w:t xml:space="preserve">Hyperwar’s terminal states are measured in who can still say no at machine</w:t>
      </w:r>
      <w:r>
        <w:t xml:space="preserve"> </w:t>
      </w:r>
      <w:r>
        <w:t xml:space="preserve">speed. Takeover’s are measured in whether reversal takes longer than the</w:t>
      </w:r>
      <w:r>
        <w:t xml:space="preserve"> </w:t>
      </w:r>
      <w:r>
        <w:t xml:space="preserve">system’s decision cycle. Ours are measured in whether a human hand, voice, or</w:t>
      </w:r>
      <w:r>
        <w:t xml:space="preserve"> </w:t>
      </w:r>
      <w:r>
        <w:t xml:space="preserve">face is still load-bearing in any shipped artifact — or only ceremonial, known</w:t>
      </w:r>
      <w:r>
        <w:t xml:space="preserve"> </w:t>
      </w:r>
      <w:r>
        <w:t xml:space="preserve">by its holder to be ceremonial. Four books, one question asked four ways:</w:t>
      </w:r>
      <w:r>
        <w:t xml:space="preserve"> </w:t>
      </w:r>
      <w:r>
        <w:t xml:space="preserve">what is the smallest observable unit of control, and who holds it on the</w:t>
      </w:r>
      <w:r>
        <w:t xml:space="preserve"> </w:t>
      </w:r>
      <w:r>
        <w:t xml:space="preserve">night it matters.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Missile-swarm choreography from Macross (animator Ichiro Itano): dozens of individually tracked contrails. Full entry in the Glossary.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2026-10-20T17:52:13Z</dcterms:created>
  <dcterms:modified xsi:type="dcterms:W3CDTF">2026-10-20T17:52:13Z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