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Effektstärken evidenzbasierter Lerntechniken</w:t>
      </w:r>
    </w:p>
    <w:p>
      <w:pPr>
        <w:spacing w:after="300"/>
      </w:pPr>
      <w:r>
        <w:rPr>
          <w:i/>
          <w:iCs/>
          <w:color w:val="666666"/>
          <w:sz w:val="22"/>
          <w:szCs w:val="22"/>
        </w:rPr>
        <w:t xml:space="preserve">Übersicht auf Basis aktueller Meta-Analysen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6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Technik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Effektstärke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Quelle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Anmerkung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Retrieval Practice (Abrufübungen)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 = 0.50 – 0.74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Rowland 2014; Adesope et al. 2017; Donoghue &amp; Hattie 2021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Bandbreite je nach Meta-Analyse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Spaced Repetition (Verteiltes Üben)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 = 0.60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Dunlosky et al. 2013; Cepeda et al. 2006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High Utility – robust belegt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Feynman-Methode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 = 0.54*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Donoghue &amp; Hattie 2021 (Self-Explanation)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*Kein direkter Wert; basiert auf Self-Explanation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Interleaving (Verschachteltes Üben)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 = 0.52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Donoghue &amp; Hattie 2021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Moderate Utility bei Dunlosky 2013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Loci-Methode (Gedächtnispalast)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g = 0.65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Twomey &amp; Kroneisen 2021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Meta-Analyse über 13 RCTs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Pomodoro-Technik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Keine Meta-Analyse verfügbar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Lernen durch Lehren (Peer Tutoring)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 = 0.53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Hattie 2009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Visible Learning Meta-Analyse</w:t>
            </w:r>
          </w:p>
        </w:tc>
      </w:tr>
    </w:tbl>
    <w:p>
      <w:pPr>
        <w:pStyle w:val="Heading2"/>
        <w:spacing w:before="500"/>
      </w:pPr>
      <w:r>
        <w:t xml:space="preserve">Quellenverzeichnis</w:t>
      </w:r>
    </w:p>
    <w:p>
      <w:pPr>
        <w:spacing w:after="80"/>
      </w:pPr>
      <w:r>
        <w:rPr>
          <w:sz w:val="20"/>
          <w:szCs w:val="20"/>
        </w:rPr>
        <w:t xml:space="preserve">Adesope, O. O., Trevisan, D. A., &amp; Sundararajan, N. (2017). Rethinking the Use of Tests: A Meta-Analysis of Practice Testing. </w:t>
      </w:r>
      <w:r>
        <w:rPr>
          <w:i/>
          <w:iCs/>
          <w:sz w:val="20"/>
          <w:szCs w:val="20"/>
        </w:rPr>
        <w:t xml:space="preserve">Review of Educational Research, 87</w:t>
      </w:r>
      <w:r>
        <w:rPr>
          <w:sz w:val="20"/>
          <w:szCs w:val="20"/>
        </w:rPr>
        <w:t xml:space="preserve">(3), 659–701.</w:t>
      </w:r>
    </w:p>
    <w:p>
      <w:pPr>
        <w:spacing w:after="80"/>
      </w:pPr>
      <w:r>
        <w:rPr>
          <w:sz w:val="20"/>
          <w:szCs w:val="20"/>
        </w:rPr>
        <w:t xml:space="preserve">Cepeda, N. J., Pashler, H., Vul, E., Wixted, J. T., &amp; Rohrer, D. (2006). Distributed practice in verbal recall tasks: A review and quantitative synthesis. </w:t>
      </w:r>
      <w:r>
        <w:rPr>
          <w:i/>
          <w:iCs/>
          <w:sz w:val="20"/>
          <w:szCs w:val="20"/>
        </w:rPr>
        <w:t xml:space="preserve">Psychological Bulletin, 132</w:t>
      </w:r>
      <w:r>
        <w:rPr>
          <w:sz w:val="20"/>
          <w:szCs w:val="20"/>
        </w:rPr>
        <w:t xml:space="preserve">(3), 354–380.</w:t>
      </w:r>
    </w:p>
    <w:p>
      <w:pPr>
        <w:spacing w:after="80"/>
      </w:pPr>
      <w:r>
        <w:rPr>
          <w:sz w:val="20"/>
          <w:szCs w:val="20"/>
        </w:rPr>
        <w:t xml:space="preserve">Donoghue, G. M., &amp; Hattie, J. A. C. (2021). A Meta-Analysis of Ten Learning Techniques. </w:t>
      </w:r>
      <w:r>
        <w:rPr>
          <w:i/>
          <w:iCs/>
          <w:sz w:val="20"/>
          <w:szCs w:val="20"/>
        </w:rPr>
        <w:t xml:space="preserve">Frontiers in Education, 6</w:t>
      </w:r>
      <w:r>
        <w:rPr>
          <w:sz w:val="20"/>
          <w:szCs w:val="20"/>
        </w:rPr>
        <w:t xml:space="preserve">, 581216.</w:t>
      </w:r>
    </w:p>
    <w:p>
      <w:pPr>
        <w:spacing w:after="80"/>
      </w:pPr>
      <w:r>
        <w:rPr>
          <w:sz w:val="20"/>
          <w:szCs w:val="20"/>
        </w:rPr>
        <w:t xml:space="preserve">Dunlosky, J., Rawson, K. A., Marsh, E. J., Nathan, M. J., &amp; Willingham, D. T. (2013). Improving Students' Learning With Effective Learning Techniques. </w:t>
      </w:r>
      <w:r>
        <w:rPr>
          <w:i/>
          <w:iCs/>
          <w:sz w:val="20"/>
          <w:szCs w:val="20"/>
        </w:rPr>
        <w:t xml:space="preserve">Psychological Science in the Public Interest, 14</w:t>
      </w:r>
      <w:r>
        <w:rPr>
          <w:sz w:val="20"/>
          <w:szCs w:val="20"/>
        </w:rPr>
        <w:t xml:space="preserve">(1), 4–58.</w:t>
      </w:r>
    </w:p>
    <w:p>
      <w:pPr>
        <w:spacing w:after="80"/>
      </w:pPr>
      <w:r>
        <w:rPr>
          <w:sz w:val="20"/>
          <w:szCs w:val="20"/>
        </w:rPr>
        <w:t xml:space="preserve">Hattie, J. (2009). </w:t>
      </w:r>
      <w:r>
        <w:rPr>
          <w:i/>
          <w:iCs/>
          <w:sz w:val="20"/>
          <w:szCs w:val="20"/>
        </w:rPr>
        <w:t xml:space="preserve">Visible Learning: A Synthesis of Over 800 Meta-Analyses Relating to Achievement.</w:t>
      </w:r>
      <w:r>
        <w:rPr>
          <w:sz w:val="20"/>
          <w:szCs w:val="20"/>
        </w:rPr>
        <w:t xml:space="preserve"> Routledge.</w:t>
      </w:r>
    </w:p>
    <w:p>
      <w:pPr>
        <w:spacing w:after="80"/>
      </w:pPr>
      <w:r>
        <w:rPr>
          <w:sz w:val="20"/>
          <w:szCs w:val="20"/>
        </w:rPr>
        <w:t xml:space="preserve">Rowland, C. A. (2014). The effect of testing versus restudy on retention: A meta-analytic review of the testing effect. </w:t>
      </w:r>
      <w:r>
        <w:rPr>
          <w:i/>
          <w:iCs/>
          <w:sz w:val="20"/>
          <w:szCs w:val="20"/>
        </w:rPr>
        <w:t xml:space="preserve">Psychological Bulletin, 140</w:t>
      </w:r>
      <w:r>
        <w:rPr>
          <w:sz w:val="20"/>
          <w:szCs w:val="20"/>
        </w:rPr>
        <w:t xml:space="preserve">(6), 1432–1463.</w:t>
      </w:r>
    </w:p>
    <w:p>
      <w:pPr>
        <w:spacing w:after="80"/>
      </w:pPr>
      <w:r>
        <w:rPr>
          <w:sz w:val="20"/>
          <w:szCs w:val="20"/>
        </w:rPr>
        <w:t xml:space="preserve">Twomey, C., &amp; Kroneisen, M. (2021). The effectiveness of the loci method as a mnemonic device: Meta-analysis. </w:t>
      </w:r>
      <w:r>
        <w:rPr>
          <w:i/>
          <w:iCs/>
          <w:sz w:val="20"/>
          <w:szCs w:val="20"/>
        </w:rPr>
        <w:t xml:space="preserve">Quarterly Journal of Experimental Psychology, 74</w:t>
      </w:r>
      <w:r>
        <w:rPr>
          <w:sz w:val="20"/>
          <w:szCs w:val="20"/>
        </w:rPr>
        <w:t xml:space="preserve">(8), 1317–1326.</w:t>
      </w:r>
    </w:p>
    <w:p>
      <w:pPr>
        <w:pStyle w:val="Heading2"/>
        <w:spacing w:before="400"/>
      </w:pPr>
      <w:r>
        <w:t xml:space="preserve">Methodische Anmerkungen</w:t>
      </w:r>
    </w:p>
    <w:p>
      <w:pPr>
        <w:spacing w:after="100"/>
      </w:pPr>
      <w:r>
        <w:rPr>
          <w:sz w:val="20"/>
          <w:szCs w:val="20"/>
        </w:rPr>
        <w:t xml:space="preserve">Die Effektstaerke d (Cohens d) bzw. g (Hedges g) gibt die standardisierte Differenz zwischen Experimental- und Kontrollgruppe an. Werte ab d = 0.40 gelten in der Bildungsforschung als praktisch bedeutsam (Hattie, 2009). Die Feynman-Methode wurde ueber den Proxy Self-Explanation operationalisiert, da keine eigenstaendige Meta-Analyse existiert.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2026-01-09T01:52:41.666Z</dcterms:created>
  <dcterms:modified xsi:type="dcterms:W3CDTF">2026-01-09T01:52:41.667Z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