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2062" w14:textId="183B0067" w:rsidR="006A1612" w:rsidRPr="00FE76C8" w:rsidRDefault="006A1612" w:rsidP="006A1612">
      <w:pPr>
        <w:rPr>
          <w:rFonts w:ascii="Arial Narrow" w:hAnsi="Arial Narrow"/>
        </w:rPr>
      </w:pPr>
      <w:r w:rsidRPr="00FE76C8">
        <w:rPr>
          <w:rFonts w:ascii="Arial Narrow" w:hAnsi="Arial Narrow"/>
          <w:b/>
          <w:bCs/>
        </w:rPr>
        <w:t xml:space="preserve">Data Collection </w:t>
      </w:r>
      <w:r w:rsidR="00ED19A8">
        <w:rPr>
          <w:rFonts w:ascii="Arial Narrow" w:hAnsi="Arial Narrow"/>
          <w:b/>
          <w:bCs/>
        </w:rPr>
        <w:t>3</w:t>
      </w:r>
      <w:r w:rsidRPr="00FE76C8">
        <w:rPr>
          <w:rFonts w:ascii="Arial Narrow" w:hAnsi="Arial Narrow"/>
          <w:b/>
          <w:bCs/>
        </w:rPr>
        <w:t xml:space="preserve"> - Parameters and variables used in the simulation model</w:t>
      </w:r>
    </w:p>
    <w:p w14:paraId="021D07E0" w14:textId="77777777" w:rsidR="006A1612" w:rsidRPr="00FE76C8" w:rsidRDefault="006A1612" w:rsidP="006A1612">
      <w:pPr>
        <w:pStyle w:val="Descripcin"/>
        <w:jc w:val="center"/>
        <w:rPr>
          <w:rFonts w:ascii="Arial Narrow" w:hAnsi="Arial Narrow"/>
          <w:i w:val="0"/>
          <w:iCs w:val="0"/>
          <w:color w:val="auto"/>
          <w:sz w:val="22"/>
          <w:szCs w:val="22"/>
        </w:rPr>
      </w:pPr>
      <w:bookmarkStart w:id="0" w:name="_Toc153812320"/>
      <w:r w:rsidRPr="00FE76C8">
        <w:rPr>
          <w:rFonts w:ascii="Arial Narrow" w:hAnsi="Arial Narrow"/>
          <w:i w:val="0"/>
          <w:iCs w:val="0"/>
          <w:color w:val="auto"/>
          <w:sz w:val="22"/>
          <w:szCs w:val="22"/>
        </w:rPr>
        <w:t>Table 2.</w:t>
      </w:r>
      <w:bookmarkEnd w:id="0"/>
      <w:r w:rsidRPr="00FE76C8">
        <w:rPr>
          <w:rFonts w:ascii="Arial Narrow" w:hAnsi="Arial Narrow"/>
          <w:i w:val="0"/>
          <w:iCs w:val="0"/>
          <w:color w:val="auto"/>
          <w:sz w:val="22"/>
          <w:szCs w:val="22"/>
        </w:rPr>
        <w:t xml:space="preserve"> Sensitivity and Specificity for Extravasation Detection</w:t>
      </w:r>
    </w:p>
    <w:tbl>
      <w:tblPr>
        <w:tblStyle w:val="Tablaconcuadrcula"/>
        <w:tblW w:w="0" w:type="auto"/>
        <w:jc w:val="center"/>
        <w:tblLook w:val="04A0" w:firstRow="1" w:lastRow="0" w:firstColumn="1" w:lastColumn="0" w:noHBand="0" w:noVBand="1"/>
      </w:tblPr>
      <w:tblGrid>
        <w:gridCol w:w="2450"/>
        <w:gridCol w:w="1737"/>
        <w:gridCol w:w="2737"/>
        <w:gridCol w:w="2895"/>
        <w:gridCol w:w="1226"/>
        <w:gridCol w:w="1239"/>
        <w:gridCol w:w="1053"/>
        <w:gridCol w:w="1053"/>
      </w:tblGrid>
      <w:tr w:rsidR="006A1612" w:rsidRPr="00FE76C8" w14:paraId="691A9390" w14:textId="77777777" w:rsidTr="000F3B2B">
        <w:trPr>
          <w:jc w:val="center"/>
        </w:trPr>
        <w:tc>
          <w:tcPr>
            <w:tcW w:w="0" w:type="auto"/>
          </w:tcPr>
          <w:p w14:paraId="2EC3DFA9" w14:textId="77777777" w:rsidR="006A1612" w:rsidRPr="00FE76C8" w:rsidRDefault="006A1612" w:rsidP="000F3B2B">
            <w:pPr>
              <w:jc w:val="center"/>
              <w:rPr>
                <w:rFonts w:ascii="Arial Narrow" w:hAnsi="Arial Narrow"/>
                <w:b/>
                <w:bCs/>
              </w:rPr>
            </w:pPr>
            <w:r w:rsidRPr="00FE76C8">
              <w:rPr>
                <w:rFonts w:ascii="Arial Narrow" w:hAnsi="Arial Narrow"/>
                <w:b/>
                <w:bCs/>
              </w:rPr>
              <w:t>Author</w:t>
            </w:r>
          </w:p>
        </w:tc>
        <w:tc>
          <w:tcPr>
            <w:tcW w:w="0" w:type="auto"/>
          </w:tcPr>
          <w:p w14:paraId="2B683495" w14:textId="77777777" w:rsidR="006A1612" w:rsidRPr="00FE76C8" w:rsidRDefault="006A1612" w:rsidP="000F3B2B">
            <w:pPr>
              <w:pStyle w:val="Descripcin"/>
              <w:jc w:val="center"/>
              <w:rPr>
                <w:rFonts w:ascii="Arial Narrow" w:hAnsi="Arial Narrow"/>
                <w:b/>
                <w:bCs/>
                <w:i w:val="0"/>
                <w:iCs w:val="0"/>
                <w:color w:val="auto"/>
                <w:sz w:val="22"/>
                <w:szCs w:val="22"/>
              </w:rPr>
            </w:pPr>
            <w:r w:rsidRPr="00FE76C8">
              <w:rPr>
                <w:rFonts w:ascii="Arial Narrow" w:hAnsi="Arial Narrow"/>
                <w:b/>
                <w:bCs/>
                <w:i w:val="0"/>
                <w:iCs w:val="0"/>
                <w:color w:val="auto"/>
                <w:sz w:val="22"/>
                <w:szCs w:val="22"/>
              </w:rPr>
              <w:t xml:space="preserve">Type of study </w:t>
            </w:r>
          </w:p>
        </w:tc>
        <w:tc>
          <w:tcPr>
            <w:tcW w:w="0" w:type="auto"/>
          </w:tcPr>
          <w:p w14:paraId="57B60EF8" w14:textId="77777777" w:rsidR="006A1612" w:rsidRPr="00FE76C8" w:rsidRDefault="006A1612" w:rsidP="000F3B2B">
            <w:pPr>
              <w:jc w:val="center"/>
              <w:rPr>
                <w:rFonts w:ascii="Arial Narrow" w:hAnsi="Arial Narrow"/>
                <w:b/>
                <w:bCs/>
              </w:rPr>
            </w:pPr>
            <w:r w:rsidRPr="00FE76C8">
              <w:rPr>
                <w:rFonts w:ascii="Arial Narrow" w:hAnsi="Arial Narrow"/>
                <w:b/>
                <w:bCs/>
              </w:rPr>
              <w:t xml:space="preserve">Comparison </w:t>
            </w:r>
          </w:p>
        </w:tc>
        <w:tc>
          <w:tcPr>
            <w:tcW w:w="0" w:type="auto"/>
          </w:tcPr>
          <w:p w14:paraId="7E692DEF" w14:textId="77777777" w:rsidR="006A1612" w:rsidRPr="00FE76C8" w:rsidRDefault="006A1612" w:rsidP="000F3B2B">
            <w:pPr>
              <w:jc w:val="center"/>
              <w:rPr>
                <w:rFonts w:ascii="Arial Narrow" w:hAnsi="Arial Narrow"/>
                <w:b/>
                <w:bCs/>
              </w:rPr>
            </w:pPr>
            <w:r w:rsidRPr="00FE76C8">
              <w:rPr>
                <w:rFonts w:ascii="Arial Narrow" w:hAnsi="Arial Narrow"/>
                <w:b/>
                <w:bCs/>
              </w:rPr>
              <w:t>Observation</w:t>
            </w:r>
          </w:p>
        </w:tc>
        <w:tc>
          <w:tcPr>
            <w:tcW w:w="0" w:type="auto"/>
          </w:tcPr>
          <w:p w14:paraId="241434F8" w14:textId="77777777" w:rsidR="006A1612" w:rsidRPr="00FE76C8" w:rsidRDefault="006A1612" w:rsidP="000F3B2B">
            <w:pPr>
              <w:jc w:val="center"/>
              <w:rPr>
                <w:rFonts w:ascii="Arial Narrow" w:hAnsi="Arial Narrow"/>
                <w:b/>
                <w:bCs/>
              </w:rPr>
            </w:pPr>
            <w:r w:rsidRPr="00FE76C8">
              <w:rPr>
                <w:rFonts w:ascii="Arial Narrow" w:hAnsi="Arial Narrow"/>
                <w:b/>
                <w:bCs/>
              </w:rPr>
              <w:t>Sensitivity (%)</w:t>
            </w:r>
          </w:p>
        </w:tc>
        <w:tc>
          <w:tcPr>
            <w:tcW w:w="0" w:type="auto"/>
          </w:tcPr>
          <w:p w14:paraId="3640CD69" w14:textId="77777777" w:rsidR="006A1612" w:rsidRPr="00FE76C8" w:rsidRDefault="006A1612" w:rsidP="000F3B2B">
            <w:pPr>
              <w:jc w:val="center"/>
              <w:rPr>
                <w:rFonts w:ascii="Arial Narrow" w:hAnsi="Arial Narrow"/>
                <w:b/>
                <w:bCs/>
              </w:rPr>
            </w:pPr>
            <w:r w:rsidRPr="00FE76C8">
              <w:rPr>
                <w:rFonts w:ascii="Arial Narrow" w:hAnsi="Arial Narrow"/>
                <w:b/>
                <w:bCs/>
              </w:rPr>
              <w:t>Specificity (%)</w:t>
            </w:r>
          </w:p>
        </w:tc>
        <w:tc>
          <w:tcPr>
            <w:tcW w:w="0" w:type="auto"/>
          </w:tcPr>
          <w:p w14:paraId="6F14FB46" w14:textId="77777777" w:rsidR="006A1612" w:rsidRPr="00FE76C8" w:rsidRDefault="006A1612" w:rsidP="000F3B2B">
            <w:pPr>
              <w:jc w:val="center"/>
              <w:rPr>
                <w:rFonts w:ascii="Arial Narrow" w:hAnsi="Arial Narrow"/>
                <w:b/>
                <w:bCs/>
              </w:rPr>
            </w:pPr>
            <w:r w:rsidRPr="00FE76C8">
              <w:rPr>
                <w:rFonts w:ascii="Arial Narrow" w:hAnsi="Arial Narrow"/>
                <w:b/>
                <w:bCs/>
              </w:rPr>
              <w:t>PPV (%)</w:t>
            </w:r>
          </w:p>
        </w:tc>
        <w:tc>
          <w:tcPr>
            <w:tcW w:w="0" w:type="auto"/>
          </w:tcPr>
          <w:p w14:paraId="12F8AD3C" w14:textId="77777777" w:rsidR="006A1612" w:rsidRPr="00FE76C8" w:rsidRDefault="006A1612" w:rsidP="000F3B2B">
            <w:pPr>
              <w:jc w:val="center"/>
              <w:rPr>
                <w:rFonts w:ascii="Arial Narrow" w:hAnsi="Arial Narrow"/>
                <w:b/>
                <w:bCs/>
              </w:rPr>
            </w:pPr>
            <w:r w:rsidRPr="00FE76C8">
              <w:rPr>
                <w:rFonts w:ascii="Arial Narrow" w:hAnsi="Arial Narrow"/>
                <w:b/>
                <w:bCs/>
              </w:rPr>
              <w:t>NPV (%)</w:t>
            </w:r>
          </w:p>
        </w:tc>
      </w:tr>
      <w:tr w:rsidR="006A1612" w:rsidRPr="00FE76C8" w14:paraId="7F02C4F6" w14:textId="77777777" w:rsidTr="000F3B2B">
        <w:trPr>
          <w:trHeight w:val="438"/>
          <w:jc w:val="center"/>
        </w:trPr>
        <w:tc>
          <w:tcPr>
            <w:tcW w:w="0" w:type="auto"/>
          </w:tcPr>
          <w:p w14:paraId="3B9BE111"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{"citationItems":[{"id":"ITEM-1","itemData":{"ISSN":"00196061","PMID":"16651672","abstract":"A study was undertaken to analyze the usefulness of radiographic and ultrasonographic findings and area specific hematocrit cut off values in Dengue Hemorrhagic Fever (DHF). Of the 65 cases, 35 were DHF and 30 were Dengue Fever as per the WHO case definition. Among the DHF cases, hemoconcentration (&gt;20%) was detected in 20 cases (57.14%), hypoproteinemia in 11 (31.42%) and clinical evidence of pleural effusion and or ascites in 25 (71.42%). Hemoconcentration based on area specific hematocrit cut off values was observed in 32 cases (91.42%). Ultrasonographic evidence of plasma leakage was seen in 32 cases (91.42%). In detecting plasma leakage, area specific hematocrit cut off values and ultrasonography had the highest sensitivity (91.42%), while ultrasonography had the highest negative predictive value of 84.21%. Clinical evidence of plasma leakage was more frequent than hemoconcentration or hypoproteinuria. Ultrasonography is an ideal non-invasive investigation to detect plasma leakage and area specific hematocrit values are useful as evidence of plasma leakage.","author":[{"dropping-particle":"","family":"Balasubramanian","given":"S.","non-dropping-particle":"","parse-names":false,"suffix":""},{"dropping-particle":"","family":"Janakiraman","given":"Lalitha","non-dropping-particle":"","parse-names":false,"suffix":""},{"dropping-particle":"","family":"Shiv Kumar","given":"S.","non-dropping-particle":"","parse-names":false,"suffix":""},{"dropping-particle":"","family":"Muralinath","given":"S.","non-dropping-particle":"","parse-names":false,"suffix":""},{"dropping-particle":"","family":"Shivbalan","given":"So","non-dropping-particle":"","parse-names":false,"suffix":""}],"container-title":"Indian Pediatrics","id":"ITEM-1","issue":"4","issued":{"date-parts":[["2006"]]},"page":"334-339","title":"A reappraisal of the criteria to diagnose plasma leakage in dengue hemorrhagic fever","type":"article-journal","volume":"43"},"uris":["http://www.mendeley.com/documents/?uuid=c8ba1409-c4ff-4c7a-9d5f-0ede76fd336c"]}],"mendeley":{"formattedCitation":"(Balasubramanian et al. 2006)","plainTextFormattedCitation":"(Balasubramanian et al. 2006)","previouslyFormattedCitation":"(Balasubramanian et al. 2006)"},"properties":{"noteIndex":0},"schema":"https://github.com/citation-style-language/schema/raw/master/csl-citation.json"}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(Balasubramanian et al. 2006)</w:t>
            </w:r>
            <w:r w:rsidRPr="00FE76C8">
              <w:rPr>
                <w:rFonts w:ascii="Arial Narrow" w:hAnsi="Arial Narrow"/>
              </w:rPr>
              <w:fldChar w:fldCharType="end"/>
            </w:r>
          </w:p>
        </w:tc>
        <w:tc>
          <w:tcPr>
            <w:tcW w:w="0" w:type="auto"/>
          </w:tcPr>
          <w:p w14:paraId="66161646"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7861781B" w14:textId="77777777" w:rsidR="006A1612" w:rsidRPr="00FE76C8" w:rsidRDefault="006A1612" w:rsidP="000F3B2B">
            <w:pPr>
              <w:jc w:val="center"/>
              <w:rPr>
                <w:rFonts w:ascii="Arial Narrow" w:hAnsi="Arial Narrow"/>
              </w:rPr>
            </w:pPr>
            <w:r w:rsidRPr="00FE76C8">
              <w:rPr>
                <w:rFonts w:ascii="Arial Narrow" w:hAnsi="Arial Narrow"/>
              </w:rPr>
              <w:t>Clinical evidence, X-rays</w:t>
            </w:r>
          </w:p>
          <w:p w14:paraId="4E49AD9A" w14:textId="77777777" w:rsidR="006A1612" w:rsidRPr="00FE76C8" w:rsidRDefault="006A1612" w:rsidP="000F3B2B">
            <w:pPr>
              <w:jc w:val="center"/>
              <w:rPr>
                <w:rFonts w:ascii="Arial Narrow" w:hAnsi="Arial Narrow"/>
              </w:rPr>
            </w:pPr>
            <w:r w:rsidRPr="00FE76C8">
              <w:rPr>
                <w:rFonts w:ascii="Arial Narrow" w:hAnsi="Arial Narrow"/>
              </w:rPr>
              <w:t>Hemoconcentration</w:t>
            </w:r>
          </w:p>
          <w:p w14:paraId="7B95C848" w14:textId="77777777" w:rsidR="006A1612" w:rsidRPr="00FE76C8" w:rsidRDefault="006A1612" w:rsidP="000F3B2B">
            <w:pPr>
              <w:jc w:val="center"/>
              <w:rPr>
                <w:rFonts w:ascii="Arial Narrow" w:hAnsi="Arial Narrow"/>
              </w:rPr>
            </w:pPr>
            <w:r w:rsidRPr="00FE76C8">
              <w:rPr>
                <w:rFonts w:ascii="Arial Narrow" w:hAnsi="Arial Narrow"/>
              </w:rPr>
              <w:t>Hypoproteinemia</w:t>
            </w:r>
          </w:p>
        </w:tc>
        <w:tc>
          <w:tcPr>
            <w:tcW w:w="0" w:type="auto"/>
          </w:tcPr>
          <w:p w14:paraId="3C315C1B" w14:textId="77777777" w:rsidR="006A1612" w:rsidRPr="00FE76C8" w:rsidRDefault="006A1612" w:rsidP="000F3B2B">
            <w:pPr>
              <w:jc w:val="center"/>
              <w:rPr>
                <w:rFonts w:ascii="Arial Narrow" w:hAnsi="Arial Narrow"/>
              </w:rPr>
            </w:pPr>
            <w:r w:rsidRPr="00FE76C8">
              <w:rPr>
                <w:rFonts w:ascii="Arial Narrow" w:hAnsi="Arial Narrow"/>
              </w:rPr>
              <w:t xml:space="preserve">Pleural effusion or ascites </w:t>
            </w:r>
          </w:p>
        </w:tc>
        <w:tc>
          <w:tcPr>
            <w:tcW w:w="0" w:type="auto"/>
          </w:tcPr>
          <w:p w14:paraId="4CA74B81" w14:textId="77777777" w:rsidR="006A1612" w:rsidRPr="00FE76C8" w:rsidRDefault="006A1612" w:rsidP="000F3B2B">
            <w:pPr>
              <w:jc w:val="center"/>
              <w:rPr>
                <w:rFonts w:ascii="Arial Narrow" w:hAnsi="Arial Narrow"/>
              </w:rPr>
            </w:pPr>
            <w:r w:rsidRPr="00FE76C8">
              <w:rPr>
                <w:rFonts w:ascii="Arial Narrow" w:hAnsi="Arial Narrow"/>
              </w:rPr>
              <w:t>91,42</w:t>
            </w:r>
          </w:p>
        </w:tc>
        <w:tc>
          <w:tcPr>
            <w:tcW w:w="0" w:type="auto"/>
          </w:tcPr>
          <w:p w14:paraId="49086995" w14:textId="77777777" w:rsidR="006A1612" w:rsidRPr="00FE76C8" w:rsidRDefault="006A1612" w:rsidP="000F3B2B">
            <w:pPr>
              <w:jc w:val="center"/>
              <w:rPr>
                <w:rFonts w:ascii="Arial Narrow" w:hAnsi="Arial Narrow"/>
              </w:rPr>
            </w:pPr>
            <w:r w:rsidRPr="00FE76C8">
              <w:rPr>
                <w:rFonts w:ascii="Arial Narrow" w:hAnsi="Arial Narrow"/>
              </w:rPr>
              <w:t>53,33</w:t>
            </w:r>
          </w:p>
        </w:tc>
        <w:tc>
          <w:tcPr>
            <w:tcW w:w="0" w:type="auto"/>
          </w:tcPr>
          <w:p w14:paraId="62C74B2C" w14:textId="77777777" w:rsidR="006A1612" w:rsidRPr="00FE76C8" w:rsidRDefault="006A1612" w:rsidP="000F3B2B">
            <w:pPr>
              <w:jc w:val="center"/>
              <w:rPr>
                <w:rFonts w:ascii="Arial Narrow" w:hAnsi="Arial Narrow"/>
              </w:rPr>
            </w:pPr>
            <w:r w:rsidRPr="00FE76C8">
              <w:rPr>
                <w:rFonts w:ascii="Arial Narrow" w:hAnsi="Arial Narrow"/>
              </w:rPr>
              <w:t>69,56</w:t>
            </w:r>
          </w:p>
        </w:tc>
        <w:tc>
          <w:tcPr>
            <w:tcW w:w="0" w:type="auto"/>
          </w:tcPr>
          <w:p w14:paraId="129BD338" w14:textId="77777777" w:rsidR="006A1612" w:rsidRPr="00FE76C8" w:rsidRDefault="006A1612" w:rsidP="000F3B2B">
            <w:pPr>
              <w:jc w:val="center"/>
              <w:rPr>
                <w:rFonts w:ascii="Arial Narrow" w:hAnsi="Arial Narrow"/>
              </w:rPr>
            </w:pPr>
            <w:r w:rsidRPr="00FE76C8">
              <w:rPr>
                <w:rFonts w:ascii="Arial Narrow" w:hAnsi="Arial Narrow"/>
              </w:rPr>
              <w:t>84,21</w:t>
            </w:r>
          </w:p>
        </w:tc>
      </w:tr>
      <w:tr w:rsidR="006A1612" w:rsidRPr="00FE76C8" w14:paraId="62AFB032" w14:textId="77777777" w:rsidTr="000F3B2B">
        <w:trPr>
          <w:jc w:val="center"/>
        </w:trPr>
        <w:tc>
          <w:tcPr>
            <w:tcW w:w="0" w:type="auto"/>
          </w:tcPr>
          <w:p w14:paraId="284B055C"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{"citationItems":[{"id":"ITEM-1","itemData":{"DOI":"10.1017/S1049023X11006637","ISSN":"19451938","PMID":"22030127","abstract":"Introduction: Radiographic findings of dengue fever have not yet been clearly elucidated in relation to clinical and serological findings, despite the fact that two-fifths of the world population lives in areas where the virus is endemic. The current study is a retrospective analyzis of ultrasonographic (USG) features of patients presenting with probable dengue fever during the outbreak of DF of 2006 in North India. Methods: Case records of a 169 patients with probable dengue fiver were included. Ten individual sonographic parameters were reviewed vis-à-vis ascites, hepatomegaly, splenomegaly, gall bladder wall edema (GBWE), pleural effusion (right or left or both), pericardial effusion, pericholecystic collection, perinephric collection. Subjects who had GB wall thickness &gt;3 mm as measured on ultrasound were identified as positive for GBWE. The cases were analyzed in view of their serological profile. Results: The mean age of the subjects was 27.9 13.4 years. The mean value of the platelet count was 57.4 22.3 x 103/cmm. The most common ultrasonographic feature was ascites (126, 74.6%) followed by gall bladder wall edema (122, 72%), hepatomegaly (78, 46.2%), splenomegaly (66, 39.1%) and pericholecystic collection (63, 37.3%); 48 (28.4%) subjects demonstrated evidence of pleural effusion on the right side, while 19 (11.2%) had bilateral effusion. None of the subjects had an isolated left pleural effusion. Twenty-seven (16%) subjects reported bleeding manifestations in the form of petechiae and five (3%) developed renal dysfunction. Presence of pleural and pericardial effusions was found to be specific while ascites and GBWE were identified as highly sensitive markers for seropositive Primary DF. Conclusions: Ultrasonographic evidence of ascites, pleuro-pericardial effusion, and gallbladder wall edema are rapidly aquired, non-invasive markers of dengue and can be helpful before serological investigations become available. These findings may indicate severity and may herald the onset of bleeding (petechiae) or predict the development of acute renal dysfunction. © Copyright Motla © World Association for Disaster and Emergency Medicine 2012.","author":[{"dropping-particle":"","family":"Motla","given":"M.","non-dropping-particle":"","parse-names":false,"suffix":""},{"dropping-particle":"","family":"Manaktala","given":"S.","non-dropping-particle":"","parse-names":false,"suffix":""},{"dropping-particle":"","family":"Gupta","given":"V.","non-dropping-particle":"","parse-names":false,"suffix":""},{"dropping-particle":"","family":"Aggarwal","given":"M.","non-dropping-particle":"","parse-names":false,"suffix":""},{"dropping-particle":"","family":"Bhoi","given":"S. K.","non-dropping-particle":"","parse-names":false,"suffix":""},{"dropping-particle":"","family":"Aggarwal","given":"P.","non-dropping-particle":"","parse-names":false,"suffix":""},{"dropping-particle":"","family":"Goel","given":"A.","non-dropping-particle":"","parse-names":false,"suffix":""}],"container-title":"Prehospital and Disaster Medicine","id":"ITEM-1","issue":"5","issued":{"date-parts":[["2011"]]},"page":"335-341","title":"Sonographic evidence of ascites, pleura-pericardial effusion and gallbladder wall edema for dengue fever","type":"article-journal","volume":"26"},"uris":["http://www.mendeley.com/documents/?uuid=d04413cd-da53-4e6c-a7e1-cd0f9baefadb"]}],"mendeley":{"formattedCitation":"(Motla et al. 2011)","plainTextFormattedCitation":"(Motla et al. 2011)","previouslyFormattedCitation":"(Motla et al. 2011)"},"properties":{"noteIndex":0},"schema":"https://github.com/citation-style-language/schema/raw/master/csl-citation.json"}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(Motla et al. 2011)</w:t>
            </w:r>
            <w:r w:rsidRPr="00FE76C8">
              <w:rPr>
                <w:rFonts w:ascii="Arial Narrow" w:hAnsi="Arial Narrow"/>
              </w:rPr>
              <w:fldChar w:fldCharType="end"/>
            </w:r>
          </w:p>
        </w:tc>
        <w:tc>
          <w:tcPr>
            <w:tcW w:w="0" w:type="auto"/>
          </w:tcPr>
          <w:p w14:paraId="611954CA" w14:textId="77777777" w:rsidR="006A1612" w:rsidRPr="00FE76C8" w:rsidRDefault="006A1612" w:rsidP="000F3B2B">
            <w:pPr>
              <w:jc w:val="center"/>
              <w:rPr>
                <w:rFonts w:ascii="Arial Narrow" w:hAnsi="Arial Narrow"/>
              </w:rPr>
            </w:pPr>
            <w:r w:rsidRPr="00FE76C8">
              <w:rPr>
                <w:rFonts w:ascii="Arial Narrow" w:hAnsi="Arial Narrow"/>
              </w:rPr>
              <w:t>Retrospective</w:t>
            </w:r>
          </w:p>
        </w:tc>
        <w:tc>
          <w:tcPr>
            <w:tcW w:w="0" w:type="auto"/>
          </w:tcPr>
          <w:p w14:paraId="23D6B655" w14:textId="77777777" w:rsidR="006A1612" w:rsidRPr="00FE76C8" w:rsidRDefault="006A1612" w:rsidP="000F3B2B">
            <w:pPr>
              <w:jc w:val="center"/>
              <w:rPr>
                <w:rFonts w:ascii="Arial Narrow" w:hAnsi="Arial Narrow"/>
              </w:rPr>
            </w:pPr>
            <w:r w:rsidRPr="00FE76C8">
              <w:rPr>
                <w:rFonts w:ascii="Arial Narrow" w:hAnsi="Arial Narrow"/>
              </w:rPr>
              <w:t>Clinical evidence and dengue seropositivity</w:t>
            </w:r>
          </w:p>
        </w:tc>
        <w:tc>
          <w:tcPr>
            <w:tcW w:w="0" w:type="auto"/>
          </w:tcPr>
          <w:p w14:paraId="7F1D9266" w14:textId="77777777" w:rsidR="006A1612" w:rsidRPr="00FE76C8" w:rsidRDefault="006A1612" w:rsidP="000F3B2B">
            <w:pPr>
              <w:jc w:val="center"/>
              <w:rPr>
                <w:rFonts w:ascii="Arial Narrow" w:hAnsi="Arial Narrow"/>
              </w:rPr>
            </w:pPr>
            <w:r w:rsidRPr="00FE76C8">
              <w:rPr>
                <w:rFonts w:ascii="Arial Narrow" w:hAnsi="Arial Narrow"/>
              </w:rPr>
              <w:t>Vesicular wall thickening &gt;3 mm</w:t>
            </w:r>
          </w:p>
        </w:tc>
        <w:tc>
          <w:tcPr>
            <w:tcW w:w="0" w:type="auto"/>
          </w:tcPr>
          <w:p w14:paraId="2C8643C0" w14:textId="77777777" w:rsidR="006A1612" w:rsidRPr="00FE76C8" w:rsidRDefault="006A1612" w:rsidP="000F3B2B">
            <w:pPr>
              <w:jc w:val="center"/>
              <w:rPr>
                <w:rFonts w:ascii="Arial Narrow" w:hAnsi="Arial Narrow"/>
              </w:rPr>
            </w:pPr>
            <w:r w:rsidRPr="00FE76C8">
              <w:rPr>
                <w:rFonts w:ascii="Arial Narrow" w:hAnsi="Arial Narrow"/>
              </w:rPr>
              <w:t>92</w:t>
            </w:r>
          </w:p>
        </w:tc>
        <w:tc>
          <w:tcPr>
            <w:tcW w:w="0" w:type="auto"/>
          </w:tcPr>
          <w:p w14:paraId="35E1D76B" w14:textId="77777777" w:rsidR="006A1612" w:rsidRPr="00FE76C8" w:rsidRDefault="006A1612" w:rsidP="000F3B2B">
            <w:pPr>
              <w:jc w:val="center"/>
              <w:rPr>
                <w:rFonts w:ascii="Arial Narrow" w:hAnsi="Arial Narrow"/>
              </w:rPr>
            </w:pPr>
            <w:r w:rsidRPr="00FE76C8">
              <w:rPr>
                <w:rFonts w:ascii="Arial Narrow" w:hAnsi="Arial Narrow"/>
              </w:rPr>
              <w:t>38</w:t>
            </w:r>
          </w:p>
        </w:tc>
        <w:tc>
          <w:tcPr>
            <w:tcW w:w="0" w:type="auto"/>
          </w:tcPr>
          <w:p w14:paraId="34120654" w14:textId="77777777" w:rsidR="006A1612" w:rsidRPr="00FE76C8" w:rsidRDefault="006A1612" w:rsidP="000F3B2B">
            <w:pPr>
              <w:jc w:val="center"/>
              <w:rPr>
                <w:rFonts w:ascii="Arial Narrow" w:hAnsi="Arial Narrow"/>
              </w:rPr>
            </w:pPr>
            <w:r w:rsidRPr="00FE76C8">
              <w:rPr>
                <w:rFonts w:ascii="Arial Narrow" w:hAnsi="Arial Narrow"/>
              </w:rPr>
              <w:t>Not reported</w:t>
            </w:r>
          </w:p>
        </w:tc>
        <w:tc>
          <w:tcPr>
            <w:tcW w:w="0" w:type="auto"/>
          </w:tcPr>
          <w:p w14:paraId="328991EB" w14:textId="77777777" w:rsidR="006A1612" w:rsidRPr="00FE76C8" w:rsidRDefault="006A1612" w:rsidP="000F3B2B">
            <w:pPr>
              <w:jc w:val="center"/>
              <w:rPr>
                <w:rFonts w:ascii="Arial Narrow" w:hAnsi="Arial Narrow"/>
              </w:rPr>
            </w:pPr>
            <w:r w:rsidRPr="00FE76C8">
              <w:rPr>
                <w:rFonts w:ascii="Arial Narrow" w:hAnsi="Arial Narrow"/>
              </w:rPr>
              <w:t>Not reported</w:t>
            </w:r>
          </w:p>
        </w:tc>
      </w:tr>
      <w:tr w:rsidR="006A1612" w:rsidRPr="00FE76C8" w14:paraId="4BEA7EEC" w14:textId="77777777" w:rsidTr="000F3B2B">
        <w:trPr>
          <w:jc w:val="center"/>
        </w:trPr>
        <w:tc>
          <w:tcPr>
            <w:tcW w:w="0" w:type="auto"/>
          </w:tcPr>
          <w:p w14:paraId="0907677A"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{"citationItems":[{"id":"ITEM-1","itemData":{"abstract":"Dengue viral infection is a major public health problem. The hallmark of dengue hemorrhagic fever (DHF) diagnosis is identifying plasma leakage hematocrit level rising more than 20{%}, pleural effusion, ascites or shock. The objectives of the study were to compare time to plasma leakage identified by detection of pleural effusion, ascites or gall bladder wall thickening using serial ultrasonography and time to significant hemoconcentration. And to identify factor that may affect the magnitude of hemoconcentration such as anemia, bleeding, amount of fluid administration. A study prospective study was done in Khon Kaen Hospital. Children under 15 years old suspected of dengue infection were enrolled. Serial ultrasonography were performed every 6 hours until pleural effusion was detected on 2 consecutive occasions. After that ultrasonography was done daily. A total of 40 children were included. Measurement of hematocrit was done within 1 hour of ultrasound study. DF and DHF were diagnosed in 18.9{%} and 81.1{%} respectively. Almost all patients show evidence of hemoconcentration when using baseline Hct at 2 weeks after discharge. Time from onset of fever to maximum hemoconcentration was shortest (111 hours) followed by time to detection of gall bladder wall thickening, pleural effusion and ascites respectively. No association between anemia, bleeding or amount of fluid given in one patient who did not have hemoconcentration. When using baseline Hct at 2 week after discharge hematocrit rising more than 20{%} was the earliest evidence of plasma leakage comparing to other evidence detected by serial ultrasonography.","author":[{"dropping-particle":"","family":"Pornpimon","given":"Rojanakarin","non-dropping-particle":"","parse-names":false,"suffix":""},{"dropping-particle":"","family":"Kanokwan","given":"Sriraksa","non-dropping-particle":"","parse-names":false,"suffix":""},{"dropping-particle":"","family":"Sirijit","given":"Vasanawatthana","non-dropping-particle":"","parse-names":false,"suffix":""},{"dropping-particle":"","family":"Chatchai","given":"Suesirisawad","non-dropping-particle":"","parse-names":false,"suffix":""}],"id":"ITEM-1","issued":{"date-parts":[["2011"]]},"page":"131489","title":"Serial Utrasonography for Early Detection of Plasma Leakage in Dengue Hemorrhagic Fever","type":"article-journal"},"uris":["http://www.mendeley.com/documents/?uuid=18c9687f-dc9d-4b17-bb28-b2aaaeb71793"]}],"mendeley":{"formattedCitation":"(Pornpimon et al. 2011)","plainTextFormattedCitation":"(Pornpimon et al. 2011)","previouslyFormattedCitation":"(Pornpimon et al. 2011)"},"properties":{"noteIndex":0},"schema":"https://github.com/citation-style-language/schema/raw/master/csl-citation.json"}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(Pornpimon et al. 2011)</w:t>
            </w:r>
            <w:r w:rsidRPr="00FE76C8">
              <w:rPr>
                <w:rFonts w:ascii="Arial Narrow" w:hAnsi="Arial Narrow"/>
              </w:rPr>
              <w:fldChar w:fldCharType="end"/>
            </w:r>
          </w:p>
        </w:tc>
        <w:tc>
          <w:tcPr>
            <w:tcW w:w="0" w:type="auto"/>
          </w:tcPr>
          <w:p w14:paraId="7C1969B7"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75F98CBC" w14:textId="77777777" w:rsidR="006A1612" w:rsidRPr="00FE76C8" w:rsidRDefault="006A1612" w:rsidP="000F3B2B">
            <w:pPr>
              <w:jc w:val="center"/>
              <w:rPr>
                <w:rFonts w:ascii="Arial Narrow" w:hAnsi="Arial Narrow"/>
              </w:rPr>
            </w:pPr>
            <w:r w:rsidRPr="00FE76C8">
              <w:rPr>
                <w:rFonts w:ascii="Arial Narrow" w:hAnsi="Arial Narrow"/>
              </w:rPr>
              <w:t>Hemoconcentration</w:t>
            </w:r>
          </w:p>
          <w:p w14:paraId="019900DC" w14:textId="77777777" w:rsidR="006A1612" w:rsidRPr="00FE76C8" w:rsidRDefault="006A1612" w:rsidP="000F3B2B">
            <w:pPr>
              <w:jc w:val="center"/>
              <w:rPr>
                <w:rFonts w:ascii="Arial Narrow" w:hAnsi="Arial Narrow"/>
              </w:rPr>
            </w:pPr>
          </w:p>
        </w:tc>
        <w:tc>
          <w:tcPr>
            <w:tcW w:w="0" w:type="auto"/>
          </w:tcPr>
          <w:p w14:paraId="65C2B570" w14:textId="77777777" w:rsidR="006A1612" w:rsidRPr="00FE76C8" w:rsidRDefault="006A1612" w:rsidP="000F3B2B">
            <w:pPr>
              <w:jc w:val="center"/>
              <w:rPr>
                <w:rFonts w:ascii="Arial Narrow" w:hAnsi="Arial Narrow"/>
              </w:rPr>
            </w:pPr>
          </w:p>
        </w:tc>
        <w:tc>
          <w:tcPr>
            <w:tcW w:w="0" w:type="auto"/>
          </w:tcPr>
          <w:p w14:paraId="79B76865" w14:textId="77777777" w:rsidR="006A1612" w:rsidRPr="00FE76C8" w:rsidRDefault="006A1612" w:rsidP="000F3B2B">
            <w:pPr>
              <w:jc w:val="center"/>
              <w:rPr>
                <w:rFonts w:ascii="Arial Narrow" w:hAnsi="Arial Narrow"/>
              </w:rPr>
            </w:pPr>
            <w:r w:rsidRPr="00FE76C8">
              <w:rPr>
                <w:rFonts w:ascii="Arial Narrow" w:hAnsi="Arial Narrow"/>
              </w:rPr>
              <w:t>86,6</w:t>
            </w:r>
          </w:p>
        </w:tc>
        <w:tc>
          <w:tcPr>
            <w:tcW w:w="0" w:type="auto"/>
          </w:tcPr>
          <w:p w14:paraId="0C2CE6C7" w14:textId="77777777" w:rsidR="006A1612" w:rsidRPr="00FE76C8" w:rsidRDefault="006A1612" w:rsidP="000F3B2B">
            <w:pPr>
              <w:jc w:val="center"/>
              <w:rPr>
                <w:rFonts w:ascii="Arial Narrow" w:hAnsi="Arial Narrow"/>
              </w:rPr>
            </w:pPr>
            <w:r w:rsidRPr="00FE76C8">
              <w:rPr>
                <w:rFonts w:ascii="Arial Narrow" w:hAnsi="Arial Narrow"/>
              </w:rPr>
              <w:t>95,1</w:t>
            </w:r>
          </w:p>
        </w:tc>
        <w:tc>
          <w:tcPr>
            <w:tcW w:w="0" w:type="auto"/>
          </w:tcPr>
          <w:p w14:paraId="319E0BFA" w14:textId="77777777" w:rsidR="006A1612" w:rsidRPr="00FE76C8" w:rsidRDefault="006A1612" w:rsidP="000F3B2B">
            <w:pPr>
              <w:jc w:val="center"/>
              <w:rPr>
                <w:rFonts w:ascii="Arial Narrow" w:hAnsi="Arial Narrow"/>
              </w:rPr>
            </w:pPr>
            <w:r w:rsidRPr="00FE76C8">
              <w:rPr>
                <w:rFonts w:ascii="Arial Narrow" w:hAnsi="Arial Narrow"/>
              </w:rPr>
              <w:t>92,2</w:t>
            </w:r>
          </w:p>
        </w:tc>
        <w:tc>
          <w:tcPr>
            <w:tcW w:w="0" w:type="auto"/>
          </w:tcPr>
          <w:p w14:paraId="173E4BB1" w14:textId="77777777" w:rsidR="006A1612" w:rsidRPr="00FE76C8" w:rsidRDefault="006A1612" w:rsidP="000F3B2B">
            <w:pPr>
              <w:jc w:val="center"/>
              <w:rPr>
                <w:rFonts w:ascii="Arial Narrow" w:hAnsi="Arial Narrow"/>
              </w:rPr>
            </w:pPr>
            <w:r w:rsidRPr="00FE76C8">
              <w:rPr>
                <w:rFonts w:ascii="Arial Narrow" w:hAnsi="Arial Narrow"/>
              </w:rPr>
              <w:t>91,3</w:t>
            </w:r>
          </w:p>
        </w:tc>
      </w:tr>
      <w:tr w:rsidR="006A1612" w:rsidRPr="00FE76C8" w14:paraId="611DE8E2" w14:textId="77777777" w:rsidTr="000F3B2B">
        <w:trPr>
          <w:jc w:val="center"/>
        </w:trPr>
        <w:tc>
          <w:tcPr>
            <w:tcW w:w="0" w:type="auto"/>
          </w:tcPr>
          <w:p w14:paraId="7E13F15B"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{"citationItems":[{"id":"ITEM-1","itemData":{"DOI":"10.1007/s00247-013-2642-0","ISSN":"03010449","abstract":"BACKGROUND: Dengue fever accounts for significant mortality in developing countries. Dengue fever serology takes a week at least to be reported positive, thus necessitating the need for other markers of diagnosis and prognosis.\\n\\nOBJECTIVE: The purpose of this study was to investigate the role of ultrasonography as a tool in diagnosing and predicting the severity of dengue fever in children.\\n\\nMATERIALS AND METHODS: This was a prospective study conducted in a tertiary pediatric centre from September 2010 to July 2012. Three hundred twenty-four children with confirmed dengue fever were compared with 422 children of suspected dengue fever. Severity of illness was graded as per WHO criteria and sonography findings were correlated to the grade of illness.\\n\\nRESULTS: Gallbladder wall thickening was seen in 75% of the children with confirmed dengue fever. A significant difference was seen between survivors and non-survivors with respect to pericholecystic fluid collection (P</w:instrText>
            </w:r>
            <w:r w:rsidRPr="00FE76C8">
              <w:rPr>
                <w:rFonts w:ascii="Arial" w:hAnsi="Arial" w:cs="Arial"/>
              </w:rPr>
              <w:instrText> </w:instrText>
            </w:r>
            <w:r w:rsidRPr="00FE76C8">
              <w:rPr>
                <w:rFonts w:ascii="Arial Narrow" w:hAnsi="Arial Narrow"/>
              </w:rPr>
              <w:instrText>=</w:instrText>
            </w:r>
            <w:r w:rsidRPr="00FE76C8">
              <w:rPr>
                <w:rFonts w:ascii="Arial" w:hAnsi="Arial" w:cs="Arial"/>
              </w:rPr>
              <w:instrText> </w:instrText>
            </w:r>
            <w:r w:rsidRPr="00FE76C8">
              <w:rPr>
                <w:rFonts w:ascii="Arial Narrow" w:hAnsi="Arial Narrow"/>
              </w:rPr>
              <w:instrText>0.002), hepatic intraparenchymal fluid (P</w:instrText>
            </w:r>
            <w:r w:rsidRPr="00FE76C8">
              <w:rPr>
                <w:rFonts w:ascii="Arial" w:hAnsi="Arial" w:cs="Arial"/>
              </w:rPr>
              <w:instrText> </w:instrText>
            </w:r>
            <w:r w:rsidRPr="00FE76C8">
              <w:rPr>
                <w:rFonts w:ascii="Arial Narrow" w:hAnsi="Arial Narrow"/>
              </w:rPr>
              <w:instrText>&lt;</w:instrText>
            </w:r>
            <w:r w:rsidRPr="00FE76C8">
              <w:rPr>
                <w:rFonts w:ascii="Arial" w:hAnsi="Arial" w:cs="Arial"/>
              </w:rPr>
              <w:instrText> </w:instrText>
            </w:r>
            <w:r w:rsidRPr="00FE76C8">
              <w:rPr>
                <w:rFonts w:ascii="Arial Narrow" w:hAnsi="Arial Narrow"/>
              </w:rPr>
              <w:instrText>0.001), splenomegaly (P</w:instrText>
            </w:r>
            <w:r w:rsidRPr="00FE76C8">
              <w:rPr>
                <w:rFonts w:ascii="Arial" w:hAnsi="Arial" w:cs="Arial"/>
              </w:rPr>
              <w:instrText> </w:instrText>
            </w:r>
            <w:r w:rsidRPr="00FE76C8">
              <w:rPr>
                <w:rFonts w:ascii="Arial Narrow" w:hAnsi="Arial Narrow"/>
              </w:rPr>
              <w:instrText>=</w:instrText>
            </w:r>
            <w:r w:rsidRPr="00FE76C8">
              <w:rPr>
                <w:rFonts w:ascii="Arial" w:hAnsi="Arial" w:cs="Arial"/>
              </w:rPr>
              <w:instrText> </w:instrText>
            </w:r>
            <w:r w:rsidRPr="00FE76C8">
              <w:rPr>
                <w:rFonts w:ascii="Arial Narrow" w:hAnsi="Arial Narrow"/>
              </w:rPr>
              <w:instrText>0.002), splenic subcapsular fluid (P</w:instrText>
            </w:r>
            <w:r w:rsidRPr="00FE76C8">
              <w:rPr>
                <w:rFonts w:ascii="Arial" w:hAnsi="Arial" w:cs="Arial"/>
              </w:rPr>
              <w:instrText> </w:instrText>
            </w:r>
            <w:r w:rsidRPr="00FE76C8">
              <w:rPr>
                <w:rFonts w:ascii="Arial Narrow" w:hAnsi="Arial Narrow"/>
              </w:rPr>
              <w:instrText>&lt;</w:instrText>
            </w:r>
            <w:r w:rsidRPr="00FE76C8">
              <w:rPr>
                <w:rFonts w:ascii="Arial" w:hAnsi="Arial" w:cs="Arial"/>
              </w:rPr>
              <w:instrText> </w:instrText>
            </w:r>
            <w:r w:rsidRPr="00FE76C8">
              <w:rPr>
                <w:rFonts w:ascii="Arial Narrow" w:hAnsi="Arial Narrow"/>
              </w:rPr>
              <w:instrText>0.001), peripancreatic fluid (P</w:instrText>
            </w:r>
            <w:r w:rsidRPr="00FE76C8">
              <w:rPr>
                <w:rFonts w:ascii="Arial" w:hAnsi="Arial" w:cs="Arial"/>
              </w:rPr>
              <w:instrText> </w:instrText>
            </w:r>
            <w:r w:rsidRPr="00FE76C8">
              <w:rPr>
                <w:rFonts w:ascii="Arial Narrow" w:hAnsi="Arial Narrow"/>
              </w:rPr>
              <w:instrText>&lt;</w:instrText>
            </w:r>
            <w:r w:rsidRPr="00FE76C8">
              <w:rPr>
                <w:rFonts w:ascii="Arial" w:hAnsi="Arial" w:cs="Arial"/>
              </w:rPr>
              <w:instrText> </w:instrText>
            </w:r>
            <w:r w:rsidRPr="00FE76C8">
              <w:rPr>
                <w:rFonts w:ascii="Arial Narrow" w:hAnsi="Arial Narrow"/>
              </w:rPr>
              <w:instrText>0.001), perirenal fluid (P</w:instrText>
            </w:r>
            <w:r w:rsidRPr="00FE76C8">
              <w:rPr>
                <w:rFonts w:ascii="Arial" w:hAnsi="Arial" w:cs="Arial"/>
              </w:rPr>
              <w:instrText> </w:instrText>
            </w:r>
            <w:r w:rsidRPr="00FE76C8">
              <w:rPr>
                <w:rFonts w:ascii="Arial Narrow" w:hAnsi="Arial Narrow"/>
              </w:rPr>
              <w:instrText>&lt;</w:instrText>
            </w:r>
            <w:r w:rsidRPr="00FE76C8">
              <w:rPr>
                <w:rFonts w:ascii="Arial" w:hAnsi="Arial" w:cs="Arial"/>
              </w:rPr>
              <w:instrText> </w:instrText>
            </w:r>
            <w:r w:rsidRPr="00FE76C8">
              <w:rPr>
                <w:rFonts w:ascii="Arial Narrow" w:hAnsi="Arial Narrow"/>
              </w:rPr>
              <w:instrText>0.001) and pericardial fluid (P</w:instrText>
            </w:r>
            <w:r w:rsidRPr="00FE76C8">
              <w:rPr>
                <w:rFonts w:ascii="Arial" w:hAnsi="Arial" w:cs="Arial"/>
              </w:rPr>
              <w:instrText> </w:instrText>
            </w:r>
            <w:r w:rsidRPr="00FE76C8">
              <w:rPr>
                <w:rFonts w:ascii="Arial Narrow" w:hAnsi="Arial Narrow"/>
              </w:rPr>
              <w:instrText>&lt;</w:instrText>
            </w:r>
            <w:r w:rsidRPr="00FE76C8">
              <w:rPr>
                <w:rFonts w:ascii="Arial" w:hAnsi="Arial" w:cs="Arial"/>
              </w:rPr>
              <w:instrText> </w:instrText>
            </w:r>
            <w:r w:rsidRPr="00FE76C8">
              <w:rPr>
                <w:rFonts w:ascii="Arial Narrow" w:hAnsi="Arial Narrow"/>
              </w:rPr>
              <w:instrText>0.001). Other findings included ascites, pleural effusion, hepatomegaly and splenomegaly, which were present irrespective of grade of illness.\\n\\nCONCLUSIONS: Ultrasonography can be used as a useful tool in developing countries to predict the severity of dengue fever in children.","author":[{"dropping-particle":"","family":"Bharath Kumar Reddy","given":"K. R.","non-dropping-particle":"","parse-names":false,"suffix":""},{"dropping-particle":"","family":"Laksmana","given":"Ramesh R.","non-dropping-particle":"","parse-names":false,"suffix":""},{"dropping-particle":"","family":"Veerappa","given":"Basavaraja G.","non-dropping-particle":"","parse-names":false,"suffix":""},{"dropping-particle":"","family":"Shivananda","given":"","non-dropping-particle":"","parse-names":false,"suffix":""}],"container-title":"Pediatric Radiology","id":"ITEM-1","issue":"8","issued":{"date-parts":[["2013"]]},"page":"971-977","title":"Ultrasonography as a tool in predicting the severity of dengue fever in children - A useful aid in a developing country","type":"article-journal","volume":"43"},"uris":["http://www.mendeley.com/documents/?uuid=0228d2f6-98c4-447a-8819-53aa5ebf444c"]}],"mendeley":{"formattedCitation":"(Bharath Kumar Reddy et al. 2013)","plainTextFormattedCitation":"(Bharath Kumar Reddy et al. 2013)","previouslyFormattedCitation":"(Bharath Kumar Reddy et al. 2013)"},"properties":{"noteIndex":0},"schema":"https://github.com/citation-style-language/schema/raw/master/csl-citation.json"}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(Bharath Kumar Reddy et al. 2013)</w:t>
            </w:r>
            <w:r w:rsidRPr="00FE76C8">
              <w:rPr>
                <w:rFonts w:ascii="Arial Narrow" w:hAnsi="Arial Narrow"/>
              </w:rPr>
              <w:fldChar w:fldCharType="end"/>
            </w:r>
          </w:p>
        </w:tc>
        <w:tc>
          <w:tcPr>
            <w:tcW w:w="0" w:type="auto"/>
          </w:tcPr>
          <w:p w14:paraId="5E1F3727"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6E93C030" w14:textId="77777777" w:rsidR="006A1612" w:rsidRPr="00FE76C8" w:rsidRDefault="006A1612" w:rsidP="000F3B2B">
            <w:pPr>
              <w:jc w:val="center"/>
              <w:rPr>
                <w:rFonts w:ascii="Arial Narrow" w:hAnsi="Arial Narrow"/>
              </w:rPr>
            </w:pPr>
            <w:r w:rsidRPr="00FE76C8">
              <w:rPr>
                <w:rFonts w:ascii="Arial Narrow" w:hAnsi="Arial Narrow"/>
              </w:rPr>
              <w:t>Hemoconcentration</w:t>
            </w:r>
          </w:p>
          <w:p w14:paraId="3540D64B" w14:textId="77777777" w:rsidR="006A1612" w:rsidRPr="00FE76C8" w:rsidRDefault="006A1612" w:rsidP="000F3B2B">
            <w:pPr>
              <w:jc w:val="center"/>
              <w:rPr>
                <w:rFonts w:ascii="Arial Narrow" w:hAnsi="Arial Narrow"/>
              </w:rPr>
            </w:pPr>
          </w:p>
        </w:tc>
        <w:tc>
          <w:tcPr>
            <w:tcW w:w="0" w:type="auto"/>
          </w:tcPr>
          <w:p w14:paraId="1369C175" w14:textId="77777777" w:rsidR="006A1612" w:rsidRPr="00FE76C8" w:rsidRDefault="006A1612" w:rsidP="000F3B2B">
            <w:pPr>
              <w:jc w:val="center"/>
              <w:rPr>
                <w:rFonts w:ascii="Arial Narrow" w:hAnsi="Arial Narrow"/>
              </w:rPr>
            </w:pPr>
            <w:r w:rsidRPr="00FE76C8">
              <w:rPr>
                <w:rFonts w:ascii="Arial Narrow" w:hAnsi="Arial Narrow"/>
              </w:rPr>
              <w:t>Hepatomegaly- Ascites</w:t>
            </w:r>
          </w:p>
        </w:tc>
        <w:tc>
          <w:tcPr>
            <w:tcW w:w="0" w:type="auto"/>
          </w:tcPr>
          <w:p w14:paraId="5B2F608C" w14:textId="77777777" w:rsidR="006A1612" w:rsidRPr="00FE76C8" w:rsidRDefault="006A1612" w:rsidP="000F3B2B">
            <w:pPr>
              <w:jc w:val="center"/>
              <w:rPr>
                <w:rFonts w:ascii="Arial Narrow" w:hAnsi="Arial Narrow"/>
              </w:rPr>
            </w:pPr>
            <w:r w:rsidRPr="00FE76C8">
              <w:rPr>
                <w:rFonts w:ascii="Arial Narrow" w:hAnsi="Arial Narrow"/>
              </w:rPr>
              <w:t>42,4 -62,1</w:t>
            </w:r>
          </w:p>
        </w:tc>
        <w:tc>
          <w:tcPr>
            <w:tcW w:w="0" w:type="auto"/>
          </w:tcPr>
          <w:p w14:paraId="4397B9CB" w14:textId="77777777" w:rsidR="006A1612" w:rsidRPr="00FE76C8" w:rsidRDefault="006A1612" w:rsidP="000F3B2B">
            <w:pPr>
              <w:jc w:val="center"/>
              <w:rPr>
                <w:rFonts w:ascii="Arial Narrow" w:hAnsi="Arial Narrow"/>
              </w:rPr>
            </w:pPr>
            <w:r w:rsidRPr="00FE76C8">
              <w:rPr>
                <w:rFonts w:ascii="Arial Narrow" w:hAnsi="Arial Narrow"/>
              </w:rPr>
              <w:t>54,4-68,9</w:t>
            </w:r>
          </w:p>
        </w:tc>
        <w:tc>
          <w:tcPr>
            <w:tcW w:w="0" w:type="auto"/>
          </w:tcPr>
          <w:p w14:paraId="2EBF7FE8" w14:textId="77777777" w:rsidR="006A1612" w:rsidRPr="00FE76C8" w:rsidRDefault="006A1612" w:rsidP="000F3B2B">
            <w:pPr>
              <w:jc w:val="center"/>
              <w:rPr>
                <w:rFonts w:ascii="Arial Narrow" w:hAnsi="Arial Narrow"/>
              </w:rPr>
            </w:pPr>
            <w:r w:rsidRPr="00FE76C8">
              <w:rPr>
                <w:rFonts w:ascii="Arial Narrow" w:hAnsi="Arial Narrow"/>
              </w:rPr>
              <w:t>6,8-69,4</w:t>
            </w:r>
          </w:p>
        </w:tc>
        <w:tc>
          <w:tcPr>
            <w:tcW w:w="0" w:type="auto"/>
          </w:tcPr>
          <w:p w14:paraId="039AB4FC" w14:textId="77777777" w:rsidR="006A1612" w:rsidRPr="00FE76C8" w:rsidRDefault="006A1612" w:rsidP="000F3B2B">
            <w:pPr>
              <w:jc w:val="center"/>
              <w:rPr>
                <w:rFonts w:ascii="Arial Narrow" w:hAnsi="Arial Narrow"/>
              </w:rPr>
            </w:pPr>
            <w:r w:rsidRPr="00FE76C8">
              <w:rPr>
                <w:rFonts w:ascii="Arial Narrow" w:hAnsi="Arial Narrow"/>
              </w:rPr>
              <w:t>28,9-99,8</w:t>
            </w:r>
          </w:p>
        </w:tc>
      </w:tr>
      <w:tr w:rsidR="006A1612" w:rsidRPr="00FE76C8" w14:paraId="558725AA" w14:textId="77777777" w:rsidTr="000F3B2B">
        <w:trPr>
          <w:jc w:val="center"/>
        </w:trPr>
        <w:tc>
          <w:tcPr>
            <w:tcW w:w="0" w:type="auto"/>
          </w:tcPr>
          <w:p w14:paraId="537C0EED"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{"citationItems":[{"id":"ITEM-1","itemData":{"DOI":"10.1371/journal.pntd.0002277","ISSN":"19352735","PMID":"23785539","abstract":"Background:Identification of dengue patients at risk for progressing to severe disease is difficult. Significant plasma leakage is a hallmark of severe dengue infection which can suddenly lead to hypovolemic shock around the time of defervescence. We hypothesized that the detection of subclinical plasma leakage may identify those at risk for severe dengue. The aim of the study was to determine the predictive diagnostic value of serial ultrasonography for severe dengue.Methodology/Principal Findings:Daily bedside ultrasounds were performed with a handheld ultrasound device in a prospective cohort of adult Indonesians with dengue. Timing, localization and relation to dengue severity of the ultrasonography findings were determined, as well as the relation with serial hematocrit and albumin values. The severity of dengue was retrospectively determined by WHO 2009 criteria. A total of 66 patients with proven dengue infection were included in the study of whom 11 developed severe dengue. Presence of subclinical plasma leakage at enrollment had a positive predictive value of 35% and a negative predictive value of 90% for severe dengue. At enrollment, 55% of severe dengue cases already had subclinical plasma leakage, which increased to 91% during the subsequent days. Gallbladder wall edema was more pronounced in severe than in non-severe dengue patients and often preceded ascites/pleural effusion. Serial hematocrit and albumin measurements failed to identify plasma leakage and patients at risk for severe dengue.Conclusions/Significance:Serial ultrasonography, in contrast to existing markers such as hematocrit, may better identify patients at risk for development of severe dengue. Patients with evidence of subclinical plasma leakage and/or an edematous gallbladder wall by ultrasonography merit intensive monitoring for development of complications. © 2013 Michels et al.","author":[{"dropping-particle":"","family":"Michels","given":"Meta","non-dropping-particle":"","parse-names":false,"suffix":""},{"dropping-particle":"","family":"Sumardi","given":"Uun","non-dropping-particle":"","parse-names":false,"suffix":""},{"dropping-particle":"","family":"Mast","given":"Quirijn","non-dropping-particle":"de","parse-names":false,"suffix":""},{"dropping-particle":"","family":"Jusuf","given":"Hadi","non-dropping-particle":"","parse-names":false,"suffix":""},{"dropping-particle":"","family":"Puspita","given":"Mita","non-dropping-particle":"","parse-names":false,"suffix":""},{"dropping-particle":"","family":"Dewi","given":"Intan Mauli Warma","non-dropping-particle":"","parse-names":false,"suffix":""},{"dropping-particle":"","family":"Sinarta","given":"Sylvia","non-dropping-particle":"","parse-names":false,"suffix":""},{"dropping-particle":"","family":"Alisjahbana","given":"Bachti","non-dropping-particle":"","parse-names":false,"suffix":""},{"dropping-particle":"","family":"Ven","given":"André J.A.M.","non-dropping-particle":"van der","parse-names":false,"suffix":""}],"container-title":"PLoS Neglected Tropical Diseases","id":"ITEM-1","issue":"6","issued":{"date-parts":[["2013"]]},"title":"The Predictive Diagnostic Value of Serial Daily Bedside Ultrasonography for Severe Dengue in Indonesian Adults","type":"article-journal","volume":"7"},"uris":["http://www.mendeley.com/documents/?uuid=1a597714-688c-43ea-8948-6b8be7a18593"]}],"mendeley":{"formattedCitation":"(Michels et al. 2013)","plainTextFormattedCitation":"(Michels et al. 2013)","previouslyFormattedCitation":"(Michels et al. 2013)"},"properties":{"noteIndex":0},"schema":"https://github.com/citation-style-language/schema/raw/master/csl-citation.json"}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(Michels et al. 2013)</w:t>
            </w:r>
            <w:r w:rsidRPr="00FE76C8">
              <w:rPr>
                <w:rFonts w:ascii="Arial Narrow" w:hAnsi="Arial Narrow"/>
              </w:rPr>
              <w:fldChar w:fldCharType="end"/>
            </w:r>
          </w:p>
        </w:tc>
        <w:tc>
          <w:tcPr>
            <w:tcW w:w="0" w:type="auto"/>
          </w:tcPr>
          <w:p w14:paraId="5955785B"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3EF7283B" w14:textId="77777777" w:rsidR="006A1612" w:rsidRPr="00FE76C8" w:rsidRDefault="006A1612" w:rsidP="000F3B2B">
            <w:pPr>
              <w:jc w:val="center"/>
              <w:rPr>
                <w:rFonts w:ascii="Arial Narrow" w:hAnsi="Arial Narrow"/>
              </w:rPr>
            </w:pPr>
            <w:r w:rsidRPr="00FE76C8">
              <w:rPr>
                <w:rFonts w:ascii="Arial Narrow" w:hAnsi="Arial Narrow"/>
              </w:rPr>
              <w:t>POCUS vs. conventional ultrasound by radiologist</w:t>
            </w:r>
          </w:p>
          <w:p w14:paraId="2ACF2BDD" w14:textId="77777777" w:rsidR="006A1612" w:rsidRPr="00FE76C8" w:rsidRDefault="006A1612" w:rsidP="000F3B2B">
            <w:pPr>
              <w:jc w:val="center"/>
              <w:rPr>
                <w:rFonts w:ascii="Arial Narrow" w:hAnsi="Arial Narrow"/>
              </w:rPr>
            </w:pPr>
            <w:r w:rsidRPr="00FE76C8">
              <w:rPr>
                <w:rFonts w:ascii="Arial Narrow" w:hAnsi="Arial Narrow"/>
              </w:rPr>
              <w:t xml:space="preserve">Clinical evidence, </w:t>
            </w:r>
          </w:p>
          <w:p w14:paraId="68D27B40" w14:textId="77777777" w:rsidR="006A1612" w:rsidRPr="00FE76C8" w:rsidRDefault="006A1612" w:rsidP="000F3B2B">
            <w:pPr>
              <w:jc w:val="center"/>
              <w:rPr>
                <w:rFonts w:ascii="Arial Narrow" w:hAnsi="Arial Narrow"/>
              </w:rPr>
            </w:pPr>
            <w:r w:rsidRPr="00FE76C8">
              <w:rPr>
                <w:rFonts w:ascii="Arial Narrow" w:hAnsi="Arial Narrow"/>
              </w:rPr>
              <w:t>Hemoconcentration</w:t>
            </w:r>
          </w:p>
          <w:p w14:paraId="6DCF2867" w14:textId="77777777" w:rsidR="006A1612" w:rsidRPr="00FE76C8" w:rsidRDefault="006A1612" w:rsidP="000F3B2B">
            <w:pPr>
              <w:jc w:val="center"/>
              <w:rPr>
                <w:rFonts w:ascii="Arial Narrow" w:hAnsi="Arial Narrow"/>
              </w:rPr>
            </w:pPr>
            <w:r w:rsidRPr="00FE76C8">
              <w:rPr>
                <w:rFonts w:ascii="Arial Narrow" w:hAnsi="Arial Narrow"/>
              </w:rPr>
              <w:t>Hypoproteinemia</w:t>
            </w:r>
          </w:p>
          <w:p w14:paraId="3F4DF5AC" w14:textId="77777777" w:rsidR="006A1612" w:rsidRPr="00FE76C8" w:rsidRDefault="006A1612" w:rsidP="000F3B2B">
            <w:pPr>
              <w:jc w:val="center"/>
              <w:rPr>
                <w:rFonts w:ascii="Arial Narrow" w:hAnsi="Arial Narrow"/>
              </w:rPr>
            </w:pPr>
            <w:r w:rsidRPr="00FE76C8">
              <w:rPr>
                <w:rFonts w:ascii="Arial Narrow" w:hAnsi="Arial Narrow"/>
              </w:rPr>
              <w:t xml:space="preserve"> </w:t>
            </w:r>
          </w:p>
        </w:tc>
        <w:tc>
          <w:tcPr>
            <w:tcW w:w="0" w:type="auto"/>
          </w:tcPr>
          <w:p w14:paraId="2CD6A3DF" w14:textId="77777777" w:rsidR="006A1612" w:rsidRPr="00FE76C8" w:rsidRDefault="006A1612" w:rsidP="000F3B2B">
            <w:pPr>
              <w:jc w:val="center"/>
              <w:rPr>
                <w:rFonts w:ascii="Arial Narrow" w:hAnsi="Arial Narrow"/>
              </w:rPr>
            </w:pPr>
            <w:r w:rsidRPr="00FE76C8">
              <w:rPr>
                <w:rFonts w:ascii="Arial Narrow" w:hAnsi="Arial Narrow"/>
              </w:rPr>
              <w:t>Vesicular wall thickening &gt;3 mm</w:t>
            </w:r>
          </w:p>
        </w:tc>
        <w:tc>
          <w:tcPr>
            <w:tcW w:w="0" w:type="auto"/>
          </w:tcPr>
          <w:p w14:paraId="41597A6D" w14:textId="77777777" w:rsidR="006A1612" w:rsidRPr="00FE76C8" w:rsidRDefault="006A1612" w:rsidP="000F3B2B">
            <w:pPr>
              <w:jc w:val="center"/>
              <w:rPr>
                <w:rFonts w:ascii="Arial Narrow" w:hAnsi="Arial Narrow"/>
              </w:rPr>
            </w:pPr>
            <w:r w:rsidRPr="00FE76C8">
              <w:rPr>
                <w:rFonts w:ascii="Arial Narrow" w:hAnsi="Arial Narrow"/>
              </w:rPr>
              <w:t>Not reported</w:t>
            </w:r>
          </w:p>
        </w:tc>
        <w:tc>
          <w:tcPr>
            <w:tcW w:w="0" w:type="auto"/>
          </w:tcPr>
          <w:p w14:paraId="20BA8E54" w14:textId="77777777" w:rsidR="006A1612" w:rsidRPr="00FE76C8" w:rsidRDefault="006A1612" w:rsidP="000F3B2B">
            <w:pPr>
              <w:jc w:val="center"/>
              <w:rPr>
                <w:rFonts w:ascii="Arial Narrow" w:hAnsi="Arial Narrow"/>
              </w:rPr>
            </w:pPr>
            <w:r w:rsidRPr="00FE76C8">
              <w:rPr>
                <w:rFonts w:ascii="Arial Narrow" w:hAnsi="Arial Narrow"/>
              </w:rPr>
              <w:t>Not reported</w:t>
            </w:r>
          </w:p>
        </w:tc>
        <w:tc>
          <w:tcPr>
            <w:tcW w:w="0" w:type="auto"/>
          </w:tcPr>
          <w:p w14:paraId="2FF2E11E" w14:textId="77777777" w:rsidR="006A1612" w:rsidRPr="00FE76C8" w:rsidRDefault="006A1612" w:rsidP="000F3B2B">
            <w:pPr>
              <w:jc w:val="center"/>
              <w:rPr>
                <w:rFonts w:ascii="Arial Narrow" w:hAnsi="Arial Narrow"/>
              </w:rPr>
            </w:pPr>
            <w:r w:rsidRPr="00FE76C8">
              <w:rPr>
                <w:rFonts w:ascii="Arial Narrow" w:hAnsi="Arial Narrow"/>
              </w:rPr>
              <w:t>21</w:t>
            </w:r>
          </w:p>
        </w:tc>
        <w:tc>
          <w:tcPr>
            <w:tcW w:w="0" w:type="auto"/>
          </w:tcPr>
          <w:p w14:paraId="13B30302" w14:textId="77777777" w:rsidR="006A1612" w:rsidRPr="00FE76C8" w:rsidRDefault="006A1612" w:rsidP="000F3B2B">
            <w:pPr>
              <w:jc w:val="center"/>
              <w:rPr>
                <w:rFonts w:ascii="Arial Narrow" w:hAnsi="Arial Narrow"/>
              </w:rPr>
            </w:pPr>
            <w:r w:rsidRPr="00FE76C8">
              <w:rPr>
                <w:rFonts w:ascii="Arial Narrow" w:hAnsi="Arial Narrow"/>
              </w:rPr>
              <w:t>91</w:t>
            </w:r>
          </w:p>
        </w:tc>
      </w:tr>
      <w:tr w:rsidR="006A1612" w:rsidRPr="00FE76C8" w14:paraId="2CA8456D" w14:textId="77777777" w:rsidTr="000F3B2B">
        <w:trPr>
          <w:jc w:val="center"/>
        </w:trPr>
        <w:tc>
          <w:tcPr>
            <w:tcW w:w="0" w:type="auto"/>
          </w:tcPr>
          <w:p w14:paraId="3CBCBE9A"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{"citationItems":[{"id":"ITEM-1","itemData":{"ISSN":"00309982","abstract":"Objective: To note ultrasonographic findings used for diagnosing plasma leakage in dengue haemorrhagic fever patients. Methods: The observational retrospective study was conducted at the Holy Family Hospital, Rawalpindi and comprised records of patients with confirmed dengue infection who were screened for dengue haemorrhagic fever according to Dengue Expert Advisory Group criteria from July 1 to December 31, 2013. Each patient underwent ultrasonography for the detection of ascites, gall bladder wall thickness, pleural and/or pericardial effusion along with their quantification and localisation. Results: Of the 240 patients, 166(69.2%) were men. The overall mean age was 28.9+/-12.4 years. Of the total, 215(89.5%) had ultrasonographic abnormalities, suggestive of plasma leakage. Quantification and localisation wise, mild abdominal ascites 68(47.2%), right pleural effusion 82(74.5%) and mild pleural effusion 98(89%) were commonly noted. None had pericardial effusion. Conclusion: Mild ascites and mild right pleural effusion were the commonest pattern of ultrasonographic leak in dengue haemorrhagic fever patients. Copyright © 2016, University of Economics - Prague. All Reserved.","author":[{"dropping-particle":"","family":"Khurram","given":"Muhammad","non-dropping-particle":"","parse-names":false,"suffix":""},{"dropping-particle":"","family":"Qayyum","given":"Wajeeha","non-dropping-particle":"","parse-names":false,"suffix":""},{"dropping-particle":"","family":"Umar","given":"Mohammad","non-dropping-particle":"","parse-names":false,"suffix":""},{"dropping-particle":"","family":"Jawad","given":"Mohammad","non-dropping-particle":"","parse-names":false,"suffix":""},{"dropping-particle":"","family":"Mumtaz","given":"Shumaila","non-dropping-particle":"","parse-names":false,"suffix":""},{"dropping-particle":"","family":"Khaar","given":"Hamam Tul Bushra","non-dropping-particle":"","parse-names":false,"suffix":""}],"container-title":"Journal of the Pakistan Medical Association","id":"ITEM-1","issue":"3","issued":{"date-parts":[["2016"]]},"page":"260-264","title":"Ultrasonographic pattern of plasma leak in dengue haemorrhagic fever","type":"article-journal","volume":"66"},"uris":["http://www.mendeley.com/documents/?uuid=c62bc1ff-a436-4a07-8e42-4784cfca46d6"]}],"mendeley":{"formattedCitation":"(Khurram et al. 2016)","plainTextFormattedCitation":"(Khurram et al. 2016)","previouslyFormattedCitation":"(Khurram et al. 2016)"},"properties":{"noteIndex":0},"schema":"https://github.com/citation-style-language/schema/raw/master/csl-citation.json"}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(Khurram et al. 2016)</w:t>
            </w:r>
            <w:r w:rsidRPr="00FE76C8">
              <w:rPr>
                <w:rFonts w:ascii="Arial Narrow" w:hAnsi="Arial Narrow"/>
              </w:rPr>
              <w:fldChar w:fldCharType="end"/>
            </w:r>
          </w:p>
        </w:tc>
        <w:tc>
          <w:tcPr>
            <w:tcW w:w="0" w:type="auto"/>
          </w:tcPr>
          <w:p w14:paraId="2FE8FD9A" w14:textId="77777777" w:rsidR="006A1612" w:rsidRPr="00FE76C8" w:rsidRDefault="006A1612" w:rsidP="000F3B2B">
            <w:pPr>
              <w:jc w:val="center"/>
              <w:rPr>
                <w:rFonts w:ascii="Arial Narrow" w:hAnsi="Arial Narrow"/>
              </w:rPr>
            </w:pPr>
            <w:r w:rsidRPr="00FE76C8">
              <w:rPr>
                <w:rFonts w:ascii="Arial Narrow" w:hAnsi="Arial Narrow"/>
              </w:rPr>
              <w:t>Retrospective</w:t>
            </w:r>
          </w:p>
        </w:tc>
        <w:tc>
          <w:tcPr>
            <w:tcW w:w="0" w:type="auto"/>
          </w:tcPr>
          <w:p w14:paraId="1855C6C1" w14:textId="77777777" w:rsidR="006A1612" w:rsidRPr="00FE76C8" w:rsidRDefault="006A1612" w:rsidP="000F3B2B">
            <w:pPr>
              <w:jc w:val="center"/>
              <w:rPr>
                <w:rFonts w:ascii="Arial Narrow" w:hAnsi="Arial Narrow"/>
              </w:rPr>
            </w:pPr>
            <w:r w:rsidRPr="00FE76C8">
              <w:rPr>
                <w:rFonts w:ascii="Arial Narrow" w:hAnsi="Arial Narrow"/>
              </w:rPr>
              <w:t>Hemoconcentration</w:t>
            </w:r>
          </w:p>
          <w:p w14:paraId="2DB68A5E" w14:textId="77777777" w:rsidR="006A1612" w:rsidRPr="00FE76C8" w:rsidRDefault="006A1612" w:rsidP="000F3B2B">
            <w:pPr>
              <w:jc w:val="center"/>
              <w:rPr>
                <w:rFonts w:ascii="Arial Narrow" w:hAnsi="Arial Narrow"/>
              </w:rPr>
            </w:pPr>
          </w:p>
        </w:tc>
        <w:tc>
          <w:tcPr>
            <w:tcW w:w="0" w:type="auto"/>
          </w:tcPr>
          <w:p w14:paraId="4EE71116" w14:textId="77777777" w:rsidR="006A1612" w:rsidRPr="00FE76C8" w:rsidRDefault="006A1612" w:rsidP="000F3B2B">
            <w:pPr>
              <w:jc w:val="center"/>
              <w:rPr>
                <w:rFonts w:ascii="Arial Narrow" w:hAnsi="Arial Narrow"/>
              </w:rPr>
            </w:pPr>
            <w:r w:rsidRPr="00FE76C8">
              <w:rPr>
                <w:rFonts w:ascii="Arial Narrow" w:hAnsi="Arial Narrow"/>
              </w:rPr>
              <w:t>Pleural effusion, ascites and vesicular wall thickening &gt;3 mm.</w:t>
            </w:r>
          </w:p>
        </w:tc>
        <w:tc>
          <w:tcPr>
            <w:tcW w:w="0" w:type="auto"/>
          </w:tcPr>
          <w:p w14:paraId="11876A23" w14:textId="77777777" w:rsidR="006A1612" w:rsidRPr="00FE76C8" w:rsidRDefault="006A1612" w:rsidP="000F3B2B">
            <w:pPr>
              <w:jc w:val="center"/>
              <w:rPr>
                <w:rFonts w:ascii="Arial Narrow" w:hAnsi="Arial Narrow"/>
              </w:rPr>
            </w:pPr>
            <w:r w:rsidRPr="00FE76C8">
              <w:rPr>
                <w:rFonts w:ascii="Arial Narrow" w:hAnsi="Arial Narrow"/>
              </w:rPr>
              <w:t>93,48</w:t>
            </w:r>
          </w:p>
        </w:tc>
        <w:tc>
          <w:tcPr>
            <w:tcW w:w="0" w:type="auto"/>
          </w:tcPr>
          <w:p w14:paraId="12FF7ED5" w14:textId="77777777" w:rsidR="006A1612" w:rsidRPr="00FE76C8" w:rsidRDefault="006A1612" w:rsidP="000F3B2B">
            <w:pPr>
              <w:jc w:val="center"/>
              <w:rPr>
                <w:rFonts w:ascii="Arial Narrow" w:hAnsi="Arial Narrow"/>
              </w:rPr>
            </w:pPr>
            <w:r w:rsidRPr="00FE76C8">
              <w:rPr>
                <w:rFonts w:ascii="Arial Narrow" w:hAnsi="Arial Narrow"/>
              </w:rPr>
              <w:t>100</w:t>
            </w:r>
          </w:p>
        </w:tc>
        <w:tc>
          <w:tcPr>
            <w:tcW w:w="0" w:type="auto"/>
          </w:tcPr>
          <w:p w14:paraId="6EB17B1B" w14:textId="77777777" w:rsidR="006A1612" w:rsidRPr="00FE76C8" w:rsidRDefault="006A1612" w:rsidP="000F3B2B">
            <w:pPr>
              <w:jc w:val="center"/>
              <w:rPr>
                <w:rFonts w:ascii="Arial Narrow" w:hAnsi="Arial Narrow"/>
              </w:rPr>
            </w:pPr>
            <w:r w:rsidRPr="00FE76C8">
              <w:rPr>
                <w:rFonts w:ascii="Arial Narrow" w:hAnsi="Arial Narrow"/>
              </w:rPr>
              <w:t>100</w:t>
            </w:r>
          </w:p>
        </w:tc>
        <w:tc>
          <w:tcPr>
            <w:tcW w:w="0" w:type="auto"/>
          </w:tcPr>
          <w:p w14:paraId="29CCB0D3" w14:textId="77777777" w:rsidR="006A1612" w:rsidRPr="00FE76C8" w:rsidRDefault="006A1612" w:rsidP="000F3B2B">
            <w:pPr>
              <w:jc w:val="center"/>
              <w:rPr>
                <w:rFonts w:ascii="Arial Narrow" w:hAnsi="Arial Narrow"/>
              </w:rPr>
            </w:pPr>
            <w:r w:rsidRPr="00FE76C8">
              <w:rPr>
                <w:rFonts w:ascii="Arial Narrow" w:hAnsi="Arial Narrow"/>
              </w:rPr>
              <w:t>97,42</w:t>
            </w:r>
          </w:p>
        </w:tc>
      </w:tr>
      <w:tr w:rsidR="006A1612" w:rsidRPr="00FE76C8" w14:paraId="567C5BB5" w14:textId="77777777" w:rsidTr="000F3B2B">
        <w:trPr>
          <w:jc w:val="center"/>
        </w:trPr>
        <w:tc>
          <w:tcPr>
            <w:tcW w:w="0" w:type="auto"/>
          </w:tcPr>
          <w:p w14:paraId="4E7C37F8"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{"citationItems":[{"id":"ITEM-1","itemData":{"DOI":"10.12659/PJR.902861","ISSN":"18990967","abstract":"Background: Dengue fever is a tropical disease that is transmitted by female Aedes Aegypti mosquitos. Early diagnosis is necessary to reduce the mortality and morbidity associated with the disease. A combination of clinical, laboratory, and sonography findings can be potentially helpful in making an early diagnosis of dengue fever. There is paucity of literature on the use of ultrasound for dengue fever screening; hence, the primary objective of the study was to evaluate the utility of ultrasound as a screening tool in dengue fever. Material/Methods: A total of 160 patients of suspected dengue fever were included in the study. They underwent ultrasound examinations in order to search for thickening of the gallbladder wall, pleural effusion, and ascites. On the basis of ultrasound findings, 65 cases were positive and 95 cases were negative for dengue fever. Serological tests were also used for diagnosing dengue fever, 93 cases were seropositive and 67 cases were seronegative. The ultrasonically diagnosed cases were compared with serologically diagnosed cases, and appropriate descriptive statistical analyses were applied. Results: The ultrasound findings included gall bladder wall thickening in 66 patients (41.2%). The sensitivity, specificity, and positive predictive value of ultrasound in diagnosing dengue fever were 58%, 84%, and 83%, respectively. The negative predictive value and accuracy were 59% and 68.8%, respectively. Conclusions: The present study suggests that increased gall bladder wall thickness, pleural effusion, ascites, hepatomegaly, and splenomegaly are highly suggestive of dengue fever in clinically suspected cases. However, ultrasound should not be used as a screening tool, as negative ultrasound findings cannot rule out dengue fever due to the low sensitivity of this examination.","author":[{"dropping-particle":"","family":"Parmar","given":"Jitendra","non-dropping-particle":"","parse-names":false,"suffix":""},{"dropping-particle":"","family":"Mohan","given":"Chander","non-dropping-particle":"","parse-names":false,"suffix":""},{"dropping-particle":"","family":"Prem Kumar","given":"G.","non-dropping-particle":"","parse-names":false,"suffix":""},{"dropping-particle":"","family":"Vora","given":"Maulik","non-dropping-particle":"","parse-names":false,"suffix":""}],"container-title":"Polish Journal of Radiology","id":"ITEM-1","issued":{"date-parts":[["2017"]]},"page":"693-700","title":"Ultrasound is not useful as a screening tool for dengue fever","type":"article-journal","volume":"82"},"uris":["http://www.mendeley.com/documents/?uuid=88a004fa-dc28-4f17-8802-5f0ada19f6e5"]}],"mendeley":{"formattedCitation":"(Parmar et al. 2017)","plainTextFormattedCitation":"(Parmar et al. 2017)","previouslyFormattedCitation":"(Parmar et al. 2017)"},"properties":{"noteIndex":0},"schema":"https://github.com/citation-style-language/schema/raw/master/csl-citation.json"}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(Parmar et al. 2017)</w:t>
            </w:r>
            <w:r w:rsidRPr="00FE76C8">
              <w:rPr>
                <w:rFonts w:ascii="Arial Narrow" w:hAnsi="Arial Narrow"/>
              </w:rPr>
              <w:fldChar w:fldCharType="end"/>
            </w:r>
          </w:p>
        </w:tc>
        <w:tc>
          <w:tcPr>
            <w:tcW w:w="0" w:type="auto"/>
          </w:tcPr>
          <w:p w14:paraId="0E7C08FA"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4771172B" w14:textId="77777777" w:rsidR="006A1612" w:rsidRPr="00FE76C8" w:rsidRDefault="006A1612" w:rsidP="000F3B2B">
            <w:pPr>
              <w:jc w:val="center"/>
              <w:rPr>
                <w:rFonts w:ascii="Arial Narrow" w:hAnsi="Arial Narrow"/>
              </w:rPr>
            </w:pPr>
            <w:r w:rsidRPr="00FE76C8">
              <w:rPr>
                <w:rFonts w:ascii="Arial Narrow" w:hAnsi="Arial Narrow"/>
              </w:rPr>
              <w:t>Clinical evidence and dengue seropositivity</w:t>
            </w:r>
          </w:p>
        </w:tc>
        <w:tc>
          <w:tcPr>
            <w:tcW w:w="0" w:type="auto"/>
          </w:tcPr>
          <w:p w14:paraId="589296E0" w14:textId="77777777" w:rsidR="006A1612" w:rsidRPr="00FE76C8" w:rsidRDefault="006A1612" w:rsidP="000F3B2B">
            <w:pPr>
              <w:jc w:val="center"/>
              <w:rPr>
                <w:rFonts w:ascii="Arial Narrow" w:hAnsi="Arial Narrow"/>
              </w:rPr>
            </w:pPr>
            <w:r w:rsidRPr="00FE76C8">
              <w:rPr>
                <w:rFonts w:ascii="Arial Narrow" w:hAnsi="Arial Narrow"/>
              </w:rPr>
              <w:t>Hepatomegaly, splenomegaly, retroperitoneal ascites, gallbladder wall thickening &gt;3 mm</w:t>
            </w:r>
          </w:p>
        </w:tc>
        <w:tc>
          <w:tcPr>
            <w:tcW w:w="0" w:type="auto"/>
          </w:tcPr>
          <w:p w14:paraId="0AB2E971" w14:textId="77777777" w:rsidR="006A1612" w:rsidRPr="00FE76C8" w:rsidRDefault="006A1612" w:rsidP="000F3B2B">
            <w:pPr>
              <w:jc w:val="center"/>
              <w:rPr>
                <w:rFonts w:ascii="Arial Narrow" w:hAnsi="Arial Narrow"/>
              </w:rPr>
            </w:pPr>
            <w:r w:rsidRPr="00FE76C8">
              <w:rPr>
                <w:rFonts w:ascii="Arial Narrow" w:hAnsi="Arial Narrow"/>
              </w:rPr>
              <w:t>58,0 (47,0- 68,0)</w:t>
            </w:r>
          </w:p>
        </w:tc>
        <w:tc>
          <w:tcPr>
            <w:tcW w:w="0" w:type="auto"/>
          </w:tcPr>
          <w:p w14:paraId="0CB25445" w14:textId="77777777" w:rsidR="006A1612" w:rsidRPr="00FE76C8" w:rsidRDefault="006A1612" w:rsidP="000F3B2B">
            <w:pPr>
              <w:jc w:val="center"/>
              <w:rPr>
                <w:rFonts w:ascii="Arial Narrow" w:hAnsi="Arial Narrow"/>
              </w:rPr>
            </w:pPr>
            <w:r w:rsidRPr="00FE76C8">
              <w:rPr>
                <w:rFonts w:ascii="Arial Narrow" w:hAnsi="Arial Narrow"/>
              </w:rPr>
              <w:t>84,0 (73,0 - 92,0)</w:t>
            </w:r>
          </w:p>
        </w:tc>
        <w:tc>
          <w:tcPr>
            <w:tcW w:w="0" w:type="auto"/>
          </w:tcPr>
          <w:p w14:paraId="305781BB" w14:textId="77777777" w:rsidR="006A1612" w:rsidRPr="00FE76C8" w:rsidRDefault="006A1612" w:rsidP="000F3B2B">
            <w:pPr>
              <w:jc w:val="center"/>
              <w:rPr>
                <w:rFonts w:ascii="Arial Narrow" w:hAnsi="Arial Narrow"/>
              </w:rPr>
            </w:pPr>
            <w:r w:rsidRPr="00FE76C8">
              <w:rPr>
                <w:rFonts w:ascii="Arial Narrow" w:hAnsi="Arial Narrow"/>
              </w:rPr>
              <w:t>83,0 (72,0- 91,0)</w:t>
            </w:r>
          </w:p>
        </w:tc>
        <w:tc>
          <w:tcPr>
            <w:tcW w:w="0" w:type="auto"/>
          </w:tcPr>
          <w:p w14:paraId="2818B249" w14:textId="77777777" w:rsidR="006A1612" w:rsidRPr="00FE76C8" w:rsidRDefault="006A1612" w:rsidP="000F3B2B">
            <w:pPr>
              <w:jc w:val="center"/>
              <w:rPr>
                <w:rFonts w:ascii="Arial Narrow" w:hAnsi="Arial Narrow"/>
              </w:rPr>
            </w:pPr>
            <w:r w:rsidRPr="00FE76C8">
              <w:rPr>
                <w:rFonts w:ascii="Arial Narrow" w:hAnsi="Arial Narrow"/>
              </w:rPr>
              <w:t>59,0 (48,0- 69,0)</w:t>
            </w:r>
          </w:p>
        </w:tc>
      </w:tr>
      <w:tr w:rsidR="006A1612" w:rsidRPr="00FE76C8" w14:paraId="7973FD2F" w14:textId="77777777" w:rsidTr="000F3B2B">
        <w:trPr>
          <w:jc w:val="center"/>
        </w:trPr>
        <w:tc>
          <w:tcPr>
            <w:tcW w:w="0" w:type="auto"/>
          </w:tcPr>
          <w:p w14:paraId="7BD709A3" w14:textId="77777777" w:rsidR="006A1612" w:rsidRPr="00FE76C8" w:rsidRDefault="006A1612" w:rsidP="000F3B2B">
            <w:pPr>
              <w:jc w:val="center"/>
              <w:rPr>
                <w:rFonts w:ascii="Arial Narrow" w:hAnsi="Arial Narrow"/>
              </w:rPr>
            </w:pPr>
            <w:r w:rsidRPr="00FE76C8">
              <w:rPr>
                <w:rFonts w:ascii="Arial Narrow" w:hAnsi="Arial Narrow"/>
              </w:rPr>
              <w:lastRenderedPageBreak/>
              <w:fldChar w:fldCharType="begin" w:fldLock="1"/>
            </w:r>
            <w:r w:rsidRPr="00FE76C8">
              <w:rPr>
                <w:rFonts w:ascii="Arial Narrow" w:hAnsi="Arial Narrow"/>
              </w:rPr>
              <w:instrText>ADDIN CSL_CITATION {"citationItems":[{"id":"ITEM-1","itemData":{"ISSN":"01259326","abstract":"BACKGROUND: plasma leakage is defined as ≥20% elevation of hematocrit from baseline or decrease in convalescence or evidence of plasma leakage such as pleural effusion, ascites or hypoproteinaemia/hypoalbuminaemia. These signs of plasma leakage, in the early phase, are usually difficult to ascertain by physical examination and laboratory tests where the patient is only reflecting a mild degree of plasma leakage. This study aimed to investigate whether gallbladder wall thickening (GBWT) in the early phase of the disease can be used to detect the occurrence of plasma leakage in dengue patients. METHODS: a diagnostic study was conducted among dengue patients. Patients with fever less than 3 days, positive results of non-structural protein 1 antigen dengue and RT-PCR examination were included consecutively. Laboratory tests and chest and abdominal ultrasonography examination were also performed daily from day-3 to day-7 of fever to confirm the occurrence of plasma leakage using WHO 1997 criteria during treatment. RESULTS: there were 69 patients included in this study. Male patients were found more frequently (52.2%), average age was 24.2 years, and 46 patients (66.7%) presented with secondary dengue infection. On the third day of fever, 37 patients presented with GBWT, 30 of which showed plasma leakage during treatment. Out of 46 patients found to have plasma leakage during treatment, 12 patients had presented with plasma leakage on the third day of fever. Sensitivity and specificity of GBWT on the third day of fever were 65% (95% CI: 0,51-0,79) and 70% (95% CI: 0.51-0.88); PPV and NPV were 81% (95% CI: 0.68-0.94) and 50% (95% CI: 0.33-0.67); LR (+) and LR (-) were 2.14 (95% CI: 1.12-4.12) and 0.5 (95% CI: 0.31-0.81), respectively. CONCLUSION: gallbladder wall thickening in the early phase of the disease can be used to detect the occurrence of plasma leakage in adult dengue infected patients.","author":[{"dropping-particle":"","family":"Nainggolan, L., Wiguna, C., Hasan, I., &amp; Dewiasty","given":"E.","non-dropping-particle":"","parse-names":false,"suffix":""}],"container-title":"Acta medica Indonesiana","id":"ITEM-1","issue":"3","issued":{"date-parts":[["2018"]]},"page":"193-199","publisher-place":"Indonesia","title":"Gallbladder Wall Thickening for Early Detection of Plasma Leakage in Dengue Infected Adult Patients.","type":"article-journal","volume":"50"},"uris":["http://www.mendeley.com/documents/?uuid=7399410a-624a-4413-9ae7-63ae3ac3cc1e"]}],"mendeley":{"formattedCitation":"(Nainggolan, L., Wiguna, C., Hasan, I., &amp; Dewiasty 2018)","plainTextFormattedCitation":"(Nainggolan, L., Wiguna, C., Hasan, I., &amp; Dewiasty 2018)","previouslyFormattedCitation":"(Nainggolan, L., Wiguna, C., Hasan, I., &amp; Dewiasty 2018)"},"properties":{"noteIndex":0},"schema":"https://github.com/citation-style-language/schema/raw/master/csl-citation.json"}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(Nainggolan, L., Wiguna, C., Hasan, I., &amp; Dewiasty 2018)</w:t>
            </w:r>
            <w:r w:rsidRPr="00FE76C8">
              <w:rPr>
                <w:rFonts w:ascii="Arial Narrow" w:hAnsi="Arial Narrow"/>
              </w:rPr>
              <w:fldChar w:fldCharType="end"/>
            </w:r>
          </w:p>
        </w:tc>
        <w:tc>
          <w:tcPr>
            <w:tcW w:w="0" w:type="auto"/>
          </w:tcPr>
          <w:p w14:paraId="0399BF16"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3C444EB0" w14:textId="77777777" w:rsidR="006A1612" w:rsidRPr="00FE76C8" w:rsidRDefault="006A1612" w:rsidP="000F3B2B">
            <w:pPr>
              <w:jc w:val="center"/>
              <w:rPr>
                <w:rFonts w:ascii="Arial Narrow" w:hAnsi="Arial Narrow"/>
              </w:rPr>
            </w:pPr>
            <w:r w:rsidRPr="00FE76C8">
              <w:rPr>
                <w:rFonts w:ascii="Arial Narrow" w:hAnsi="Arial Narrow"/>
              </w:rPr>
              <w:t>WHO criteria for severe dengue fever</w:t>
            </w:r>
          </w:p>
        </w:tc>
        <w:tc>
          <w:tcPr>
            <w:tcW w:w="0" w:type="auto"/>
          </w:tcPr>
          <w:p w14:paraId="238B8969" w14:textId="77777777" w:rsidR="006A1612" w:rsidRPr="00FE76C8" w:rsidRDefault="006A1612" w:rsidP="000F3B2B">
            <w:pPr>
              <w:jc w:val="center"/>
              <w:rPr>
                <w:rFonts w:ascii="Arial Narrow" w:hAnsi="Arial Narrow"/>
              </w:rPr>
            </w:pPr>
            <w:r w:rsidRPr="00FE76C8">
              <w:rPr>
                <w:rFonts w:ascii="Arial Narrow" w:hAnsi="Arial Narrow"/>
              </w:rPr>
              <w:t>Vesicular wall thickening &gt;3 mm</w:t>
            </w:r>
          </w:p>
        </w:tc>
        <w:tc>
          <w:tcPr>
            <w:tcW w:w="0" w:type="auto"/>
          </w:tcPr>
          <w:p w14:paraId="3B2341F5" w14:textId="77777777" w:rsidR="006A1612" w:rsidRPr="00FE76C8" w:rsidRDefault="006A1612" w:rsidP="000F3B2B">
            <w:pPr>
              <w:jc w:val="center"/>
              <w:rPr>
                <w:rFonts w:ascii="Arial Narrow" w:hAnsi="Arial Narrow"/>
              </w:rPr>
            </w:pPr>
            <w:r w:rsidRPr="00FE76C8">
              <w:rPr>
                <w:rFonts w:ascii="Arial Narrow" w:hAnsi="Arial Narrow"/>
              </w:rPr>
              <w:t>65</w:t>
            </w:r>
          </w:p>
        </w:tc>
        <w:tc>
          <w:tcPr>
            <w:tcW w:w="0" w:type="auto"/>
          </w:tcPr>
          <w:p w14:paraId="52A6326A" w14:textId="77777777" w:rsidR="006A1612" w:rsidRPr="00FE76C8" w:rsidRDefault="006A1612" w:rsidP="000F3B2B">
            <w:pPr>
              <w:jc w:val="center"/>
              <w:rPr>
                <w:rFonts w:ascii="Arial Narrow" w:hAnsi="Arial Narrow"/>
              </w:rPr>
            </w:pPr>
            <w:r w:rsidRPr="00FE76C8">
              <w:rPr>
                <w:rFonts w:ascii="Arial Narrow" w:hAnsi="Arial Narrow"/>
              </w:rPr>
              <w:t>70</w:t>
            </w:r>
          </w:p>
        </w:tc>
        <w:tc>
          <w:tcPr>
            <w:tcW w:w="0" w:type="auto"/>
          </w:tcPr>
          <w:p w14:paraId="4CE8E140" w14:textId="77777777" w:rsidR="006A1612" w:rsidRPr="00FE76C8" w:rsidRDefault="006A1612" w:rsidP="000F3B2B">
            <w:pPr>
              <w:jc w:val="center"/>
              <w:rPr>
                <w:rFonts w:ascii="Arial Narrow" w:hAnsi="Arial Narrow"/>
              </w:rPr>
            </w:pPr>
            <w:r w:rsidRPr="00FE76C8">
              <w:rPr>
                <w:rFonts w:ascii="Arial Narrow" w:hAnsi="Arial Narrow"/>
              </w:rPr>
              <w:t>Not reported</w:t>
            </w:r>
          </w:p>
        </w:tc>
        <w:tc>
          <w:tcPr>
            <w:tcW w:w="0" w:type="auto"/>
          </w:tcPr>
          <w:p w14:paraId="1D163ECD" w14:textId="77777777" w:rsidR="006A1612" w:rsidRPr="00FE76C8" w:rsidRDefault="006A1612" w:rsidP="000F3B2B">
            <w:pPr>
              <w:jc w:val="center"/>
              <w:rPr>
                <w:rFonts w:ascii="Arial Narrow" w:hAnsi="Arial Narrow"/>
              </w:rPr>
            </w:pPr>
            <w:r w:rsidRPr="00FE76C8">
              <w:rPr>
                <w:rFonts w:ascii="Arial Narrow" w:hAnsi="Arial Narrow"/>
              </w:rPr>
              <w:t>Not reported</w:t>
            </w:r>
          </w:p>
        </w:tc>
      </w:tr>
      <w:tr w:rsidR="006A1612" w:rsidRPr="00FE76C8" w14:paraId="7838AFDB" w14:textId="77777777" w:rsidTr="000F3B2B">
        <w:trPr>
          <w:jc w:val="center"/>
        </w:trPr>
        <w:tc>
          <w:tcPr>
            <w:tcW w:w="0" w:type="auto"/>
          </w:tcPr>
          <w:p w14:paraId="71C4F58C"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{"citationItems":[{"id":"ITEM-1","itemData":{"DOI":"10.1016/j.cegh.2018.10.006","ISSN":"22133984","abstract":"Introduction: The pathophysiology of severe dengue is related to increased capillary permeability and plasma leakage into extracellular space. A simple, low cost risk prediction tool for plasma leakage will be useful for clinicians practicing in rural areas without imaging facilities. Study design: A prospective observational study was carried out over 12 months at the National Hospital, Sri Lanka enrolling patients with confirmed diagnosis (via NS1 antigen testing) of early dengue infection. Clinical features on admission and investigation results on D3, D5 and D7 of the illness were recorded. Evidence of plasma leakage was confirmed by ultrasonography. Results: A total of 179 patients met the inclusion criteria (males; 91, 50.8%, mean age: 31.6 years, SD ± 14.7). Sixty seven patients (67/173, 38.7%) had ultrasonographic evidence of plasma leakage. Several clinical features (severe vomiting, severe diarrhoea, abdominal pain and liver tenderness) as well as mean differences of some investigations were significantly associated with progression to plasma leakage. However, only liver tenderness on day 3 emerged as independent significant predictors of critical phase in the adjusted analysis (specificity: 93%, sensitivity: 44%). Conclusions: Having liver tenderness by day 3 of the illness is helpful to identify a subgroup of patients at risk of plasma leakage.","author":[{"dropping-particle":"","family":"Herath","given":"H. M.M.T.B.","non-dropping-particle":"","parse-names":false,"suffix":""},{"dropping-particle":"","family":"Udeshika","given":"W. A.E.","non-dropping-particle":"","parse-names":false,"suffix":""},{"dropping-particle":"","family":"Samarawickrama","given":"S. S.M.","non-dropping-particle":"","parse-names":false,"suffix":""},{"dropping-particle":"","family":"Yogendranathan","given":"Nilukshana","non-dropping-particle":"","parse-names":false,"suffix":""},{"dropping-particle":"","family":"Jayamali","given":"W. D.","non-dropping-particle":"","parse-names":false,"suffix":""},{"dropping-particle":"","family":"Kulatunga","given":"Aruna","non-dropping-particle":"","parse-names":false,"suffix":""},{"dropping-particle":"","family":"Rodrigo","given":"Chaturaka","non-dropping-particle":"","parse-names":false,"suffix":""}],"container-title":"Clinical Epidemiology and Global Health","id":"ITEM-1","issue":"3","issued":{"date-parts":[["2019"]]},"page":"279-282","title":"Prediction of plasma leakage phase of dengue in resource limited settings","type":"article-journal","volume":"7"},"uris":["http://www.mendeley.com/documents/?uuid=8fdb94ad-6d5d-4817-b751-cfe023d77967"]}],"mendeley":{"formattedCitation":"(Herath et al. 2019)","plainTextFormattedCitation":"(Herath et al. 2019)","previouslyFormattedCitation":"(Herath et al. 2019)"},"properties":{"noteIndex":0},"schema":"https://github.com/citation-style-language/schema/raw/master/csl-citation.json"}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(Herath et al. 2019)</w:t>
            </w:r>
            <w:r w:rsidRPr="00FE76C8">
              <w:rPr>
                <w:rFonts w:ascii="Arial Narrow" w:hAnsi="Arial Narrow"/>
              </w:rPr>
              <w:fldChar w:fldCharType="end"/>
            </w:r>
          </w:p>
        </w:tc>
        <w:tc>
          <w:tcPr>
            <w:tcW w:w="0" w:type="auto"/>
          </w:tcPr>
          <w:p w14:paraId="2C0CF745"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0876CBD7" w14:textId="77777777" w:rsidR="006A1612" w:rsidRPr="00FE76C8" w:rsidRDefault="006A1612" w:rsidP="000F3B2B">
            <w:pPr>
              <w:jc w:val="center"/>
              <w:rPr>
                <w:rFonts w:ascii="Arial Narrow" w:hAnsi="Arial Narrow"/>
              </w:rPr>
            </w:pPr>
            <w:r w:rsidRPr="00FE76C8">
              <w:rPr>
                <w:rFonts w:ascii="Arial Narrow" w:hAnsi="Arial Narrow"/>
              </w:rPr>
              <w:t>Clinical evidence</w:t>
            </w:r>
          </w:p>
          <w:p w14:paraId="5076AC4E" w14:textId="77777777" w:rsidR="006A1612" w:rsidRPr="00FE76C8" w:rsidRDefault="006A1612" w:rsidP="000F3B2B">
            <w:pPr>
              <w:jc w:val="center"/>
              <w:rPr>
                <w:rFonts w:ascii="Arial Narrow" w:hAnsi="Arial Narrow"/>
              </w:rPr>
            </w:pPr>
            <w:r w:rsidRPr="00FE76C8">
              <w:rPr>
                <w:rFonts w:ascii="Arial Narrow" w:hAnsi="Arial Narrow"/>
              </w:rPr>
              <w:t>Hemoconcentration</w:t>
            </w:r>
          </w:p>
          <w:p w14:paraId="73BD04D3" w14:textId="77777777" w:rsidR="006A1612" w:rsidRPr="00FE76C8" w:rsidRDefault="006A1612" w:rsidP="000F3B2B">
            <w:pPr>
              <w:jc w:val="center"/>
              <w:rPr>
                <w:rFonts w:ascii="Arial Narrow" w:hAnsi="Arial Narrow"/>
              </w:rPr>
            </w:pPr>
          </w:p>
        </w:tc>
        <w:tc>
          <w:tcPr>
            <w:tcW w:w="0" w:type="auto"/>
          </w:tcPr>
          <w:p w14:paraId="356F0059" w14:textId="77777777" w:rsidR="006A1612" w:rsidRPr="00FE76C8" w:rsidRDefault="006A1612" w:rsidP="000F3B2B">
            <w:pPr>
              <w:jc w:val="center"/>
              <w:rPr>
                <w:rFonts w:ascii="Arial Narrow" w:hAnsi="Arial Narrow"/>
              </w:rPr>
            </w:pPr>
          </w:p>
        </w:tc>
        <w:tc>
          <w:tcPr>
            <w:tcW w:w="0" w:type="auto"/>
          </w:tcPr>
          <w:p w14:paraId="7E6D2D2C" w14:textId="77777777" w:rsidR="006A1612" w:rsidRPr="00FE76C8" w:rsidRDefault="006A1612" w:rsidP="000F3B2B">
            <w:pPr>
              <w:jc w:val="center"/>
              <w:rPr>
                <w:rFonts w:ascii="Arial Narrow" w:hAnsi="Arial Narrow"/>
              </w:rPr>
            </w:pPr>
            <w:r w:rsidRPr="00FE76C8">
              <w:rPr>
                <w:rFonts w:ascii="Arial Narrow" w:hAnsi="Arial Narrow"/>
              </w:rPr>
              <w:t>44 (32-58%)</w:t>
            </w:r>
          </w:p>
        </w:tc>
        <w:tc>
          <w:tcPr>
            <w:tcW w:w="0" w:type="auto"/>
          </w:tcPr>
          <w:p w14:paraId="3D6ADED4" w14:textId="77777777" w:rsidR="006A1612" w:rsidRPr="00FE76C8" w:rsidRDefault="006A1612" w:rsidP="000F3B2B">
            <w:pPr>
              <w:jc w:val="center"/>
              <w:rPr>
                <w:rFonts w:ascii="Arial Narrow" w:hAnsi="Arial Narrow"/>
              </w:rPr>
            </w:pPr>
            <w:r w:rsidRPr="00FE76C8">
              <w:rPr>
                <w:rFonts w:ascii="Arial Narrow" w:hAnsi="Arial Narrow"/>
              </w:rPr>
              <w:t>93 (85-97%)</w:t>
            </w:r>
          </w:p>
        </w:tc>
        <w:tc>
          <w:tcPr>
            <w:tcW w:w="0" w:type="auto"/>
          </w:tcPr>
          <w:p w14:paraId="47F34FCB" w14:textId="77777777" w:rsidR="006A1612" w:rsidRPr="00FE76C8" w:rsidRDefault="006A1612" w:rsidP="000F3B2B">
            <w:pPr>
              <w:jc w:val="center"/>
              <w:rPr>
                <w:rFonts w:ascii="Arial Narrow" w:hAnsi="Arial Narrow"/>
              </w:rPr>
            </w:pPr>
            <w:r w:rsidRPr="00FE76C8">
              <w:rPr>
                <w:rFonts w:ascii="Arial Narrow" w:hAnsi="Arial Narrow"/>
              </w:rPr>
              <w:t>79 (64-89%)</w:t>
            </w:r>
          </w:p>
        </w:tc>
        <w:tc>
          <w:tcPr>
            <w:tcW w:w="0" w:type="auto"/>
          </w:tcPr>
          <w:p w14:paraId="5C490459" w14:textId="77777777" w:rsidR="006A1612" w:rsidRPr="00FE76C8" w:rsidRDefault="006A1612" w:rsidP="000F3B2B">
            <w:pPr>
              <w:jc w:val="center"/>
              <w:rPr>
                <w:rFonts w:ascii="Arial Narrow" w:hAnsi="Arial Narrow"/>
              </w:rPr>
            </w:pPr>
            <w:r w:rsidRPr="00FE76C8">
              <w:rPr>
                <w:rFonts w:ascii="Arial Narrow" w:hAnsi="Arial Narrow"/>
              </w:rPr>
              <w:t>72 (67-76%)</w:t>
            </w:r>
          </w:p>
        </w:tc>
      </w:tr>
      <w:tr w:rsidR="006A1612" w:rsidRPr="00FE76C8" w14:paraId="58153853" w14:textId="77777777" w:rsidTr="000F3B2B">
        <w:trPr>
          <w:jc w:val="center"/>
        </w:trPr>
        <w:tc>
          <w:tcPr>
            <w:tcW w:w="0" w:type="auto"/>
          </w:tcPr>
          <w:p w14:paraId="31BF697C"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{"citationItems":[{"id":"ITEM-1","itemData":{"author":[{"dropping-particle":"","family":"Quiroz-Moreno R, Méndez GF","given":"Ovando-Rivera KM","non-dropping-particle":"","parse-names":false,"suffix":""}],"id":"ITEM-1","issue":"3","issued":{"date-parts":[["2006"]]},"page":"243-248","title":"Utilidad clínica del ultrasonido en la identificación de dengue hemorrágico","type":"article-journal","volume":"44"},"uris":["http://www.mendeley.com/documents/?uuid=74e9d76d-8bc2-44fb-942d-a04f7f94a1b3"]}],"mendeley":{"formattedCitation":"(Quiroz-Moreno R, Méndez GF 2006)","plainTextFormattedCitation":"(Quiroz-Moreno R, Méndez GF 2006)","previouslyFormattedCitation":"(Quiroz-Moreno R, Méndez GF 2006)"},"properties":{"noteIndex":0},"schema":"https://github.com/citation-style-language/schema/raw/master/csl-citation.json"}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(Quiroz-Moreno R, Méndez GF 2006)</w:t>
            </w:r>
            <w:r w:rsidRPr="00FE76C8">
              <w:rPr>
                <w:rFonts w:ascii="Arial Narrow" w:hAnsi="Arial Narrow"/>
              </w:rPr>
              <w:fldChar w:fldCharType="end"/>
            </w:r>
          </w:p>
        </w:tc>
        <w:tc>
          <w:tcPr>
            <w:tcW w:w="0" w:type="auto"/>
          </w:tcPr>
          <w:p w14:paraId="173E765E"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524FB017" w14:textId="77777777" w:rsidR="006A1612" w:rsidRPr="00FE76C8" w:rsidRDefault="006A1612" w:rsidP="000F3B2B">
            <w:pPr>
              <w:jc w:val="center"/>
              <w:rPr>
                <w:rFonts w:ascii="Arial Narrow" w:hAnsi="Arial Narrow"/>
              </w:rPr>
            </w:pPr>
            <w:r w:rsidRPr="00FE76C8">
              <w:rPr>
                <w:rFonts w:ascii="Arial Narrow" w:hAnsi="Arial Narrow"/>
              </w:rPr>
              <w:t>Clinical evidence</w:t>
            </w:r>
          </w:p>
        </w:tc>
        <w:tc>
          <w:tcPr>
            <w:tcW w:w="0" w:type="auto"/>
          </w:tcPr>
          <w:p w14:paraId="5623482F" w14:textId="77777777" w:rsidR="006A1612" w:rsidRPr="00FE76C8" w:rsidRDefault="006A1612" w:rsidP="000F3B2B">
            <w:pPr>
              <w:jc w:val="center"/>
              <w:rPr>
                <w:rFonts w:ascii="Arial Narrow" w:hAnsi="Arial Narrow"/>
              </w:rPr>
            </w:pPr>
            <w:r w:rsidRPr="00FE76C8">
              <w:rPr>
                <w:rFonts w:ascii="Arial Narrow" w:hAnsi="Arial Narrow"/>
              </w:rPr>
              <w:t>Vesicular wall thickening &gt;3 mm</w:t>
            </w:r>
          </w:p>
        </w:tc>
        <w:tc>
          <w:tcPr>
            <w:tcW w:w="0" w:type="auto"/>
          </w:tcPr>
          <w:p w14:paraId="22950725" w14:textId="77777777" w:rsidR="006A1612" w:rsidRPr="00FE76C8" w:rsidRDefault="006A1612" w:rsidP="000F3B2B">
            <w:pPr>
              <w:jc w:val="center"/>
              <w:rPr>
                <w:rFonts w:ascii="Arial Narrow" w:hAnsi="Arial Narrow"/>
              </w:rPr>
            </w:pPr>
            <w:r w:rsidRPr="00FE76C8">
              <w:rPr>
                <w:rFonts w:ascii="Arial Narrow" w:hAnsi="Arial Narrow"/>
              </w:rPr>
              <w:t>87</w:t>
            </w:r>
          </w:p>
        </w:tc>
        <w:tc>
          <w:tcPr>
            <w:tcW w:w="0" w:type="auto"/>
          </w:tcPr>
          <w:p w14:paraId="4A3FE8A3" w14:textId="77777777" w:rsidR="006A1612" w:rsidRPr="00FE76C8" w:rsidRDefault="006A1612" w:rsidP="000F3B2B">
            <w:pPr>
              <w:jc w:val="center"/>
              <w:rPr>
                <w:rFonts w:ascii="Arial Narrow" w:hAnsi="Arial Narrow"/>
              </w:rPr>
            </w:pPr>
            <w:r w:rsidRPr="00FE76C8">
              <w:rPr>
                <w:rFonts w:ascii="Arial Narrow" w:hAnsi="Arial Narrow"/>
              </w:rPr>
              <w:t>48</w:t>
            </w:r>
          </w:p>
        </w:tc>
        <w:tc>
          <w:tcPr>
            <w:tcW w:w="0" w:type="auto"/>
          </w:tcPr>
          <w:p w14:paraId="10CC9906" w14:textId="77777777" w:rsidR="006A1612" w:rsidRPr="00FE76C8" w:rsidRDefault="006A1612" w:rsidP="000F3B2B">
            <w:pPr>
              <w:jc w:val="center"/>
              <w:rPr>
                <w:rFonts w:ascii="Arial Narrow" w:hAnsi="Arial Narrow"/>
              </w:rPr>
            </w:pPr>
            <w:r w:rsidRPr="00FE76C8">
              <w:rPr>
                <w:rFonts w:ascii="Arial Narrow" w:hAnsi="Arial Narrow"/>
              </w:rPr>
              <w:t>90</w:t>
            </w:r>
          </w:p>
        </w:tc>
        <w:tc>
          <w:tcPr>
            <w:tcW w:w="0" w:type="auto"/>
          </w:tcPr>
          <w:p w14:paraId="14172C8F" w14:textId="77777777" w:rsidR="006A1612" w:rsidRPr="00FE76C8" w:rsidRDefault="006A1612" w:rsidP="000F3B2B">
            <w:pPr>
              <w:jc w:val="center"/>
              <w:rPr>
                <w:rFonts w:ascii="Arial Narrow" w:hAnsi="Arial Narrow"/>
              </w:rPr>
            </w:pPr>
            <w:r w:rsidRPr="00FE76C8">
              <w:rPr>
                <w:rFonts w:ascii="Arial Narrow" w:hAnsi="Arial Narrow"/>
              </w:rPr>
              <w:t>40</w:t>
            </w:r>
          </w:p>
        </w:tc>
      </w:tr>
      <w:tr w:rsidR="006A1612" w:rsidRPr="00FE76C8" w14:paraId="20DD79C7" w14:textId="77777777" w:rsidTr="000F3B2B">
        <w:trPr>
          <w:jc w:val="center"/>
        </w:trPr>
        <w:tc>
          <w:tcPr>
            <w:tcW w:w="0" w:type="auto"/>
          </w:tcPr>
          <w:p w14:paraId="411EA1D7"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{"citationItems":[{"id":"ITEM-1","itemData":{"author":[{"dropping-particle":"","family":"Sehgal A, Gupta S, Tyagi V, Bahl S, Singh SK","given":"Puliyel JM","non-dropping-particle":"","parse-names":false,"suffix":""}],"id":"ITEM-1","issue":"October","issued":{"date-parts":[["2002"]]},"page":"315-316","title":"Gall Bladder Wall Edema is Not Pathogenic of Dengue Infection","type":"article-journal","volume":"48"},"uris":["http://www.mendeley.com/documents/?uuid=c527478b-3861-4667-89d5-cf6aa80e4cb2"]}],"mendeley":{"formattedCitation":"(Sehgal A, Gupta S, Tyagi V, Bahl S, Singh SK 2002)","plainTextFormattedCitation":"(Sehgal A, Gupta S, Tyagi V, Bahl S, Singh SK 2002)","previouslyFormattedCitation":"(Sehgal A, Gupta S, Tyagi V, Bahl S, Singh SK 2002)"},"properties":{"noteIndex":0},"schema":"https://github.com/citation-style-language/schema/raw/master/csl-citation.json"}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(Sehgal A, Gupta S, Tyagi V, Bahl S, Singh SK 2002)</w:t>
            </w:r>
            <w:r w:rsidRPr="00FE76C8">
              <w:rPr>
                <w:rFonts w:ascii="Arial Narrow" w:hAnsi="Arial Narrow"/>
              </w:rPr>
              <w:fldChar w:fldCharType="end"/>
            </w:r>
          </w:p>
        </w:tc>
        <w:tc>
          <w:tcPr>
            <w:tcW w:w="0" w:type="auto"/>
          </w:tcPr>
          <w:p w14:paraId="4F339F34"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0A6F6F87" w14:textId="77777777" w:rsidR="006A1612" w:rsidRPr="00FE76C8" w:rsidRDefault="006A1612" w:rsidP="000F3B2B">
            <w:pPr>
              <w:jc w:val="center"/>
              <w:rPr>
                <w:rFonts w:ascii="Arial Narrow" w:hAnsi="Arial Narrow"/>
              </w:rPr>
            </w:pPr>
            <w:r w:rsidRPr="00FE76C8">
              <w:rPr>
                <w:rFonts w:ascii="Arial Narrow" w:hAnsi="Arial Narrow"/>
              </w:rPr>
              <w:t>Clinical evidence and dengue seropositivity</w:t>
            </w:r>
          </w:p>
        </w:tc>
        <w:tc>
          <w:tcPr>
            <w:tcW w:w="0" w:type="auto"/>
          </w:tcPr>
          <w:p w14:paraId="70163527" w14:textId="77777777" w:rsidR="006A1612" w:rsidRPr="00FE76C8" w:rsidRDefault="006A1612" w:rsidP="000F3B2B">
            <w:pPr>
              <w:jc w:val="center"/>
              <w:rPr>
                <w:rFonts w:ascii="Arial Narrow" w:hAnsi="Arial Narrow"/>
              </w:rPr>
            </w:pPr>
            <w:r w:rsidRPr="00FE76C8">
              <w:rPr>
                <w:rFonts w:ascii="Arial Narrow" w:hAnsi="Arial Narrow"/>
              </w:rPr>
              <w:t>Gallbladder wall edema</w:t>
            </w:r>
          </w:p>
        </w:tc>
        <w:tc>
          <w:tcPr>
            <w:tcW w:w="0" w:type="auto"/>
          </w:tcPr>
          <w:p w14:paraId="1F021254" w14:textId="77777777" w:rsidR="006A1612" w:rsidRPr="00FE76C8" w:rsidRDefault="006A1612" w:rsidP="000F3B2B">
            <w:pPr>
              <w:jc w:val="center"/>
              <w:rPr>
                <w:rFonts w:ascii="Arial Narrow" w:hAnsi="Arial Narrow"/>
              </w:rPr>
            </w:pPr>
            <w:r w:rsidRPr="00FE76C8">
              <w:rPr>
                <w:rFonts w:ascii="Arial Narrow" w:hAnsi="Arial Narrow"/>
              </w:rPr>
              <w:t>80</w:t>
            </w:r>
          </w:p>
        </w:tc>
        <w:tc>
          <w:tcPr>
            <w:tcW w:w="0" w:type="auto"/>
          </w:tcPr>
          <w:p w14:paraId="2D85EF6B" w14:textId="77777777" w:rsidR="006A1612" w:rsidRPr="00FE76C8" w:rsidRDefault="006A1612" w:rsidP="000F3B2B">
            <w:pPr>
              <w:jc w:val="center"/>
              <w:rPr>
                <w:rFonts w:ascii="Arial Narrow" w:hAnsi="Arial Narrow"/>
              </w:rPr>
            </w:pPr>
            <w:r w:rsidRPr="00FE76C8">
              <w:rPr>
                <w:rFonts w:ascii="Arial Narrow" w:hAnsi="Arial Narrow"/>
              </w:rPr>
              <w:t>58</w:t>
            </w:r>
          </w:p>
        </w:tc>
        <w:tc>
          <w:tcPr>
            <w:tcW w:w="0" w:type="auto"/>
          </w:tcPr>
          <w:p w14:paraId="063E999E" w14:textId="77777777" w:rsidR="006A1612" w:rsidRPr="00FE76C8" w:rsidRDefault="006A1612" w:rsidP="000F3B2B">
            <w:pPr>
              <w:jc w:val="center"/>
              <w:rPr>
                <w:rFonts w:ascii="Arial Narrow" w:hAnsi="Arial Narrow"/>
              </w:rPr>
            </w:pPr>
            <w:r w:rsidRPr="00FE76C8">
              <w:rPr>
                <w:rFonts w:ascii="Arial Narrow" w:hAnsi="Arial Narrow"/>
              </w:rPr>
              <w:t>Not reported</w:t>
            </w:r>
          </w:p>
        </w:tc>
        <w:tc>
          <w:tcPr>
            <w:tcW w:w="0" w:type="auto"/>
          </w:tcPr>
          <w:p w14:paraId="2A97E94A" w14:textId="77777777" w:rsidR="006A1612" w:rsidRPr="00FE76C8" w:rsidRDefault="006A1612" w:rsidP="000F3B2B">
            <w:pPr>
              <w:jc w:val="center"/>
              <w:rPr>
                <w:rFonts w:ascii="Arial Narrow" w:hAnsi="Arial Narrow"/>
              </w:rPr>
            </w:pPr>
            <w:r w:rsidRPr="00FE76C8">
              <w:rPr>
                <w:rFonts w:ascii="Arial Narrow" w:hAnsi="Arial Narrow"/>
              </w:rPr>
              <w:t>Not reported</w:t>
            </w:r>
          </w:p>
        </w:tc>
      </w:tr>
      <w:tr w:rsidR="006A1612" w:rsidRPr="00FE76C8" w14:paraId="33AB9F6D" w14:textId="77777777" w:rsidTr="000F3B2B">
        <w:trPr>
          <w:jc w:val="center"/>
        </w:trPr>
        <w:tc>
          <w:tcPr>
            <w:tcW w:w="0" w:type="auto"/>
          </w:tcPr>
          <w:p w14:paraId="6B957C1D"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 xml:space="preserve">ADDIN CSL_CITATION {"citationItems":[{"id":"ITEM-1","itemData":{"DOI":"10.1002/jcu.1870230605","ISSN":"10970096","PMID":"7673451","abstract":"This study attempts to investigate whether gallbladder wall thickening (GBWT) measured by ultrasonography can be used in children as a reliable criterion to predict the onset of severe dengue hemorrhage fever (DHF). In this prospective study, we performed ultrasound examinations focusing on the gallbladder wall and the presence of intraperitoneal free fluid in 48 mild DHF cases (grades I–II) and 48 severe cases (grades III–IV). GBWT varied between 1 mm and 8 mm with a mean of 3.77 mm ± 2.04 mm. The mean value of DHF grades I and II (2.39 mm ± 1.48 mm) is significantly lower than that of grades III and IV (5.14 mm ± 1.54 mm), p &lt; 0.001. GBWT exceeded 3 mm in only 16 of 48 (33.3%) grade I–II patients and in 45 of 48 (93.8%) grade III–IV patients. A significant positive correlation was apparent between GBWT and the severity of illness, p &lt; 0.001. Patients with ascites have significantly thicker gallbladder walls than those without, p &lt; 0.01. In clinically confirmed DHF cases, the sonographic finding of GBWT &gt;3 mm to 5 mm, with 93.8% sensitivity, can be used as a criterion indicating the need for admission and monitoring. A GBWT of </w:instrText>
            </w:r>
            <w:r w:rsidRPr="00FE76C8">
              <w:rPr>
                <w:rFonts w:ascii="Cambria Math" w:hAnsi="Cambria Math" w:cs="Cambria Math"/>
              </w:rPr>
              <w:instrText>⩾</w:instrText>
            </w:r>
            <w:r w:rsidRPr="00FE76C8">
              <w:rPr>
                <w:rFonts w:ascii="Arial Narrow" w:hAnsi="Arial Narrow"/>
              </w:rPr>
              <w:instrText>5 mm, with 91.7% specificity, is useful as a criterion for identifying DHF patients at high risk of developing hypovolemic shock. © 1995 John Wiley &amp; Sons, Inc. Copyright © 1995 Wiley Periodicals, Inc., A Wiley Company","author":[{"dropping-particle":"","family":"Setiawan","given":"Melani W.","non-dropping-particle":"","parse-names":false,"suffix":""},{"dropping-particle":"","family":"Samsi","given":"Tatang K.","non-dropping-particle":"","parse-names":false,"suffix":""},{"dropping-particle":"","family":"Pool","given":"Thomas N.","non-dropping-particle":"","parse-names":false,"suffix":""},{"dropping-particle":"","family":"Sugianto","given":"D.","non-dropping-particle":"","parse-names":false,"suffix":""},{"dropping-particle":"","family":"Wulur","given":"H.","non-dropping-particle":"","parse-names":false,"suffix":""}],"container-title":"Journal of Clinical Ultrasound","id":"ITEM-1","issue":"6","issued":{"date-parts":[["1995"]]},"page":"357-362","title":"Gallbladder wall thickening in dengue hemorrhagic fever: An ultrasonographic study","type":"article-journal","volume":"23"},"uris":["http://www.mendeley.com/documents/?uuid=ea1eeee7-8429-48a6-b3ae-4756be4f95da"]}],"mendeley":{"formattedCitation":"(Setiawan et al. 1995)","plainTextFormattedCitation":"(Setiawan et al. 1995)","previouslyFormattedCitation":"(Setiawan et al. 1995)"},"properties":{"noteIndex":0},"schema":"https://github.com/citation-style-language/schema/raw/master/csl-citation.json"}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(Setiawan et al. 1995)</w:t>
            </w:r>
            <w:r w:rsidRPr="00FE76C8">
              <w:rPr>
                <w:rFonts w:ascii="Arial Narrow" w:hAnsi="Arial Narrow"/>
              </w:rPr>
              <w:fldChar w:fldCharType="end"/>
            </w:r>
          </w:p>
          <w:p w14:paraId="60C766E9" w14:textId="77777777" w:rsidR="006A1612" w:rsidRPr="00FE76C8" w:rsidRDefault="006A1612" w:rsidP="000F3B2B">
            <w:pPr>
              <w:jc w:val="center"/>
              <w:rPr>
                <w:rFonts w:ascii="Arial Narrow" w:hAnsi="Arial Narrow"/>
              </w:rPr>
            </w:pPr>
          </w:p>
        </w:tc>
        <w:tc>
          <w:tcPr>
            <w:tcW w:w="0" w:type="auto"/>
          </w:tcPr>
          <w:p w14:paraId="5CC3D495"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5FBF2D19" w14:textId="77777777" w:rsidR="006A1612" w:rsidRPr="00FE76C8" w:rsidRDefault="006A1612" w:rsidP="000F3B2B">
            <w:pPr>
              <w:jc w:val="center"/>
              <w:rPr>
                <w:rFonts w:ascii="Arial Narrow" w:hAnsi="Arial Narrow"/>
              </w:rPr>
            </w:pPr>
            <w:r w:rsidRPr="00FE76C8">
              <w:rPr>
                <w:rFonts w:ascii="Arial Narrow" w:hAnsi="Arial Narrow"/>
              </w:rPr>
              <w:t xml:space="preserve">Clinical evidence </w:t>
            </w:r>
          </w:p>
        </w:tc>
        <w:tc>
          <w:tcPr>
            <w:tcW w:w="0" w:type="auto"/>
          </w:tcPr>
          <w:p w14:paraId="4431F12C" w14:textId="77777777" w:rsidR="006A1612" w:rsidRPr="00FE76C8" w:rsidRDefault="006A1612" w:rsidP="000F3B2B">
            <w:pPr>
              <w:jc w:val="center"/>
              <w:rPr>
                <w:rFonts w:ascii="Arial Narrow" w:hAnsi="Arial Narrow"/>
              </w:rPr>
            </w:pPr>
            <w:r w:rsidRPr="00FE76C8">
              <w:rPr>
                <w:rFonts w:ascii="Arial Narrow" w:hAnsi="Arial Narrow"/>
              </w:rPr>
              <w:t>Vesicular wall thickening &gt;3 mm</w:t>
            </w:r>
          </w:p>
        </w:tc>
        <w:tc>
          <w:tcPr>
            <w:tcW w:w="0" w:type="auto"/>
          </w:tcPr>
          <w:p w14:paraId="4AFDFDB3" w14:textId="77777777" w:rsidR="006A1612" w:rsidRPr="00FE76C8" w:rsidRDefault="006A1612" w:rsidP="000F3B2B">
            <w:pPr>
              <w:jc w:val="center"/>
              <w:rPr>
                <w:rFonts w:ascii="Arial Narrow" w:hAnsi="Arial Narrow"/>
              </w:rPr>
            </w:pPr>
            <w:r w:rsidRPr="00FE76C8">
              <w:rPr>
                <w:rFonts w:ascii="Arial Narrow" w:hAnsi="Arial Narrow"/>
              </w:rPr>
              <w:t>93,8</w:t>
            </w:r>
          </w:p>
        </w:tc>
        <w:tc>
          <w:tcPr>
            <w:tcW w:w="0" w:type="auto"/>
          </w:tcPr>
          <w:p w14:paraId="0CFA9844" w14:textId="77777777" w:rsidR="006A1612" w:rsidRPr="00FE76C8" w:rsidRDefault="006A1612" w:rsidP="000F3B2B">
            <w:pPr>
              <w:jc w:val="center"/>
              <w:rPr>
                <w:rFonts w:ascii="Arial Narrow" w:hAnsi="Arial Narrow"/>
              </w:rPr>
            </w:pPr>
            <w:r w:rsidRPr="00FE76C8">
              <w:rPr>
                <w:rFonts w:ascii="Arial Narrow" w:hAnsi="Arial Narrow"/>
              </w:rPr>
              <w:t>91,7%</w:t>
            </w:r>
          </w:p>
        </w:tc>
        <w:tc>
          <w:tcPr>
            <w:tcW w:w="0" w:type="auto"/>
          </w:tcPr>
          <w:p w14:paraId="04B03330" w14:textId="77777777" w:rsidR="006A1612" w:rsidRPr="00FE76C8" w:rsidRDefault="006A1612" w:rsidP="000F3B2B">
            <w:pPr>
              <w:jc w:val="center"/>
              <w:rPr>
                <w:rFonts w:ascii="Arial Narrow" w:hAnsi="Arial Narrow"/>
              </w:rPr>
            </w:pPr>
            <w:r w:rsidRPr="00FE76C8">
              <w:rPr>
                <w:rFonts w:ascii="Arial Narrow" w:hAnsi="Arial Narrow"/>
              </w:rPr>
              <w:t>Not reported</w:t>
            </w:r>
          </w:p>
        </w:tc>
        <w:tc>
          <w:tcPr>
            <w:tcW w:w="0" w:type="auto"/>
          </w:tcPr>
          <w:p w14:paraId="76A85AAD" w14:textId="77777777" w:rsidR="006A1612" w:rsidRPr="00FE76C8" w:rsidRDefault="006A1612" w:rsidP="000F3B2B">
            <w:pPr>
              <w:jc w:val="center"/>
              <w:rPr>
                <w:rFonts w:ascii="Arial Narrow" w:hAnsi="Arial Narrow"/>
              </w:rPr>
            </w:pPr>
            <w:r w:rsidRPr="00FE76C8">
              <w:rPr>
                <w:rFonts w:ascii="Arial Narrow" w:hAnsi="Arial Narrow"/>
              </w:rPr>
              <w:t>Not reported</w:t>
            </w:r>
          </w:p>
        </w:tc>
      </w:tr>
      <w:tr w:rsidR="006A1612" w:rsidRPr="00FE76C8" w14:paraId="74B99B32" w14:textId="77777777" w:rsidTr="000F3B2B">
        <w:trPr>
          <w:jc w:val="center"/>
        </w:trPr>
        <w:tc>
          <w:tcPr>
            <w:tcW w:w="0" w:type="auto"/>
          </w:tcPr>
          <w:p w14:paraId="5A0FE6BF"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{"citationItems":[{"id":"ITEM-1","itemData":{"DOI":"10.1097/01","ISSN":"08908567","PMID":"16670647","abstract":"Objective: To evaluate the efficacy of sleep hygiene and melatonin treatment for initial insomnia in children with attention-deficit/hyperactivity disorder (ADHD). Method: Twenty-seven stimulant-treated children (6-14 years of age) with ADHD and initial insomnia (&gt;60 minutes) received sleep hygiene intervention. Nonresponders were randomized to a 30-day double-blind, placebo-controlled, crossover trial of 5-mg pharmaceutical-grade melatonin provided by the study's sponsor. Results: Sleep hygiene reduced initial insomnia to &lt;60 minutes in 5 cases, with an overall effect size in the group as a whole of 0.67. Analysis of the trial data able to be evaluated showed a significant reduction in initial insomnia of 16 minutes with melatonin relative to placebo, with an effect size of 0.6. Adverse events were generally mild and not different from those recorded with placebo treatment. The effect size of the combined sleep hygiene and melatonin intervention from baseline to 90 days' posttrial was 1.7, with a mean decrease in initial insomnia of 60 minutes. Improved sleep had no demonstrable effect on ADHD symptoms. Conclusion: Combined sleep hygiene and melatonin was a safe and effective treatment for initial insomnia in children with ADHD taking stimulant medication. ©2006 by the American Academy of Child and Adolescent Psychiatry.","author":[{"dropping-particle":"","family":"Srikiatkhachorn","given":"Anon","non-dropping-particle":"","parse-names":false,"suffix":""},{"dropping-particle":"","family":"Krautrachue","given":"Anchalee","non-dropping-particle":"","parse-names":false,"suffix":""},{"dropping-particle":"","family":"Ratanaprakarn","given":"Warangkana","non-dropping-particle":"","parse-names":false,"suffix":""},{"dropping-particle":"","family":"Al.","given":"Et","non-dropping-particle":"","parse-names":false,"suffix":""}],"container-title":"Pediatric Infectious Disease Journal","id":"ITEM-1","issue":"4","issued":{"date-parts":[["2007"]]},"page":"283-290","title":"Natural History of Plasma Leakage in Dengue Hemorrhagic Fever A Serial Ultrasonographic Study","type":"article-journal","volume":"26"},"uris":["http://www.mendeley.com/documents/?uuid=bcfbd402-25b7-48b9-9aca-9ca45c9e979d"]}],"mendeley":{"formattedCitation":"(Srikiatkhachorn et al. 2007)","plainTextFormattedCitation":"(Srikiatkhachorn et al. 2007)","previouslyFormattedCitation":"(Srikiatkhachorn et al. 2007)"},"properties":{"noteIndex":0},"schema":"https://github.com/citation-style-language/schema/raw/master/csl-citation.json"}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(Srikiatkhachorn et al. 2007).</w:t>
            </w:r>
            <w:r w:rsidRPr="00FE76C8">
              <w:rPr>
                <w:rFonts w:ascii="Arial Narrow" w:hAnsi="Arial Narrow"/>
              </w:rPr>
              <w:fldChar w:fldCharType="end"/>
            </w:r>
          </w:p>
        </w:tc>
        <w:tc>
          <w:tcPr>
            <w:tcW w:w="0" w:type="auto"/>
          </w:tcPr>
          <w:p w14:paraId="2F141889" w14:textId="77777777" w:rsidR="006A1612" w:rsidRPr="00FE76C8" w:rsidRDefault="006A1612" w:rsidP="000F3B2B">
            <w:pPr>
              <w:jc w:val="center"/>
              <w:rPr>
                <w:rFonts w:ascii="Arial Narrow" w:hAnsi="Arial Narrow"/>
              </w:rPr>
            </w:pPr>
            <w:r w:rsidRPr="00FE76C8">
              <w:rPr>
                <w:rFonts w:ascii="Arial Narrow" w:hAnsi="Arial Narrow"/>
              </w:rPr>
              <w:t>Prospective</w:t>
            </w:r>
          </w:p>
        </w:tc>
        <w:tc>
          <w:tcPr>
            <w:tcW w:w="0" w:type="auto"/>
          </w:tcPr>
          <w:p w14:paraId="30FE0FDE" w14:textId="77777777" w:rsidR="006A1612" w:rsidRPr="00FE76C8" w:rsidRDefault="006A1612" w:rsidP="000F3B2B">
            <w:pPr>
              <w:jc w:val="center"/>
              <w:rPr>
                <w:rFonts w:ascii="Arial Narrow" w:hAnsi="Arial Narrow"/>
              </w:rPr>
            </w:pPr>
            <w:r w:rsidRPr="00FE76C8">
              <w:rPr>
                <w:rFonts w:ascii="Arial Narrow" w:hAnsi="Arial Narrow"/>
              </w:rPr>
              <w:t>Clinical evidence, X-rays</w:t>
            </w:r>
          </w:p>
          <w:p w14:paraId="1DB39829" w14:textId="77777777" w:rsidR="006A1612" w:rsidRPr="00FE76C8" w:rsidRDefault="006A1612" w:rsidP="000F3B2B">
            <w:pPr>
              <w:jc w:val="center"/>
              <w:rPr>
                <w:rFonts w:ascii="Arial Narrow" w:hAnsi="Arial Narrow"/>
              </w:rPr>
            </w:pPr>
            <w:r w:rsidRPr="00FE76C8">
              <w:rPr>
                <w:rFonts w:ascii="Arial Narrow" w:hAnsi="Arial Narrow"/>
              </w:rPr>
              <w:t>Hemoconcentration</w:t>
            </w:r>
          </w:p>
        </w:tc>
        <w:tc>
          <w:tcPr>
            <w:tcW w:w="0" w:type="auto"/>
          </w:tcPr>
          <w:p w14:paraId="0DE10E93" w14:textId="77777777" w:rsidR="006A1612" w:rsidRPr="00FE76C8" w:rsidRDefault="006A1612" w:rsidP="000F3B2B">
            <w:pPr>
              <w:jc w:val="center"/>
              <w:rPr>
                <w:rFonts w:ascii="Arial Narrow" w:hAnsi="Arial Narrow"/>
              </w:rPr>
            </w:pPr>
            <w:r w:rsidRPr="00FE76C8">
              <w:rPr>
                <w:rFonts w:ascii="Arial Narrow" w:hAnsi="Arial Narrow"/>
              </w:rPr>
              <w:t>Vesicular wall thickening &gt;2 mm</w:t>
            </w:r>
          </w:p>
        </w:tc>
        <w:tc>
          <w:tcPr>
            <w:tcW w:w="0" w:type="auto"/>
          </w:tcPr>
          <w:p w14:paraId="0DF8E14A" w14:textId="77777777" w:rsidR="006A1612" w:rsidRPr="00FE76C8" w:rsidRDefault="006A1612" w:rsidP="000F3B2B">
            <w:pPr>
              <w:jc w:val="center"/>
              <w:rPr>
                <w:rFonts w:ascii="Arial Narrow" w:hAnsi="Arial Narrow"/>
              </w:rPr>
            </w:pPr>
            <w:r w:rsidRPr="00FE76C8">
              <w:rPr>
                <w:rFonts w:ascii="Arial Narrow" w:hAnsi="Arial Narrow"/>
              </w:rPr>
              <w:t>62</w:t>
            </w:r>
          </w:p>
        </w:tc>
        <w:tc>
          <w:tcPr>
            <w:tcW w:w="0" w:type="auto"/>
          </w:tcPr>
          <w:p w14:paraId="1FE79D17" w14:textId="77777777" w:rsidR="006A1612" w:rsidRPr="00FE76C8" w:rsidRDefault="006A1612" w:rsidP="000F3B2B">
            <w:pPr>
              <w:jc w:val="center"/>
              <w:rPr>
                <w:rFonts w:ascii="Arial Narrow" w:hAnsi="Arial Narrow"/>
              </w:rPr>
            </w:pPr>
            <w:r w:rsidRPr="00FE76C8">
              <w:rPr>
                <w:rFonts w:ascii="Arial Narrow" w:hAnsi="Arial Narrow"/>
              </w:rPr>
              <w:t>92</w:t>
            </w:r>
          </w:p>
        </w:tc>
        <w:tc>
          <w:tcPr>
            <w:tcW w:w="0" w:type="auto"/>
          </w:tcPr>
          <w:p w14:paraId="13824098" w14:textId="77777777" w:rsidR="006A1612" w:rsidRPr="00FE76C8" w:rsidRDefault="006A1612" w:rsidP="000F3B2B">
            <w:pPr>
              <w:jc w:val="center"/>
              <w:rPr>
                <w:rFonts w:ascii="Arial Narrow" w:hAnsi="Arial Narrow"/>
              </w:rPr>
            </w:pPr>
            <w:r w:rsidRPr="00FE76C8">
              <w:rPr>
                <w:rFonts w:ascii="Arial Narrow" w:hAnsi="Arial Narrow"/>
              </w:rPr>
              <w:t>54</w:t>
            </w:r>
          </w:p>
        </w:tc>
        <w:tc>
          <w:tcPr>
            <w:tcW w:w="0" w:type="auto"/>
          </w:tcPr>
          <w:p w14:paraId="06F4B468" w14:textId="77777777" w:rsidR="006A1612" w:rsidRPr="00FE76C8" w:rsidRDefault="006A1612" w:rsidP="000F3B2B">
            <w:pPr>
              <w:jc w:val="center"/>
              <w:rPr>
                <w:rFonts w:ascii="Arial Narrow" w:hAnsi="Arial Narrow"/>
              </w:rPr>
            </w:pPr>
            <w:r w:rsidRPr="00FE76C8">
              <w:rPr>
                <w:rFonts w:ascii="Arial Narrow" w:hAnsi="Arial Narrow"/>
              </w:rPr>
              <w:t>94</w:t>
            </w:r>
          </w:p>
        </w:tc>
      </w:tr>
      <w:tr w:rsidR="006A1612" w:rsidRPr="00FE76C8" w14:paraId="10C223A0" w14:textId="77777777" w:rsidTr="000F3B2B">
        <w:trPr>
          <w:jc w:val="center"/>
        </w:trPr>
        <w:tc>
          <w:tcPr>
            <w:tcW w:w="0" w:type="auto"/>
          </w:tcPr>
          <w:p w14:paraId="0F83CDD2" w14:textId="77777777" w:rsidR="006A1612" w:rsidRPr="00FE76C8" w:rsidRDefault="006A1612" w:rsidP="000F3B2B">
            <w:pPr>
              <w:jc w:val="center"/>
              <w:rPr>
                <w:rFonts w:ascii="Arial Narrow" w:hAnsi="Arial Narrow"/>
              </w:rPr>
            </w:pPr>
            <w:r w:rsidRPr="00FE76C8">
              <w:rPr>
                <w:rFonts w:ascii="Arial Narrow" w:hAnsi="Arial Narrow"/>
              </w:rPr>
              <w:fldChar w:fldCharType="begin" w:fldLock="1"/>
            </w:r>
            <w:r w:rsidRPr="00FE76C8">
              <w:rPr>
                <w:rFonts w:ascii="Arial Narrow" w:hAnsi="Arial Narrow"/>
              </w:rPr>
              <w:instrText>ADDIN CSL_CITATION {"citationItems":[{"id":"ITEM-1","itemData":{"DOI":"10.4103/0972-9062.242568","ISSN":"09729062","abstract":"Diagnosing severe dengue from those who do not develop complication is important to prevent death. The objective of this systematic review was to evaluate the diagnostic test accuracy of ultrasonography in differentiating severe dengue from nonsevere dengue; and to assess if ultrasonography/ultrasound can be used as a predictive (screening) and diagnostic tool in the course of dengue infection. An electronic search was conducted in different databases via OvidSP platform. The included studies were cohort studies between 1995 and 2016 wherein cases were confirmed by dengue blood test. Severity of dengue was assessed and compared using standard WHO references. The methodological quality of the paper was assessed by two independent reviewers by using QUADAS-2 tool. In total 12 studies were included in this review after suitable screening. Overall, the studies included had a low and unclear risk of bias. Seven out of nine studies that compared severe dengue and nonsevere dengue, performed an ultrasonography on gallbladder (wall thickness cutoff-3 mm) with a sensitivity of 24.2-100% and a specificity of 13.2-98.7%. Other parameters such as splenic subcapsular fluid collection, pericardial fluid and hepatic subcapsular fluid collection had a specificity of &gt;90%, though the sensitivity was poor. There were insufficient evidence that ultrasonography is able to differentiate severe dengue from nonsevere dengue accurately. The predictive and diagnostic value of ultrasonography could not be concluded due to insufficient reporting on the temporality of the ultrasonography performed with regard to the diagnosis. However, it might serve as an adjunct investigation to support the clinical diagnosis.Copyright © 2018 Malaria Research Center. All rights reserved.","author":[{"dropping-particle":"","family":"Low","given":"Gary Kim Kuan","non-dropping-particle":"","parse-names":false,"suffix":""},{"dropping-particle":"","family":"Looi","given":"Sing Yan","non-dropping-particle":"","parse-names":false,"suffix":""},{"dropping-particle":"","family":"Yong","given":"Mun Hin","non-dropping-particle":"","parse-names":false,"suffix":""},{"dropping-particle":"","family":"Sharma","given":"Deepali","non-dropping-particle":"","parse-names":false,"suffix":""}],"container-title":"Journal of Vector Borne Diseases","id":"ITEM-1","issue":"2","issued":{"date-parts":[["2018"]]},"page":"79-88","title":"Predictive and diagnostic test accuracy of ultrasonography in differentiating severe dengue from nonsevere dengue","type":"article-journal","volume":"55"},"uris":["http://www.mendeley.com/documents/?uuid=c31698e8-fc6d-43a4-b92c-fe55207bc5ce"]}],"mendeley":{"formattedCitation":"(Low et al. 2018)","plainTextFormattedCitation":"(Low et al. 2018)","previouslyFormattedCitation":"(Low et al. 2018)"},"properties":{"noteIndex":0},"schema":"https://github.com/citation-style-language/schema/raw/master/csl-citation.json"}</w:instrText>
            </w:r>
            <w:r w:rsidRPr="00FE76C8">
              <w:rPr>
                <w:rFonts w:ascii="Arial Narrow" w:hAnsi="Arial Narrow"/>
              </w:rPr>
              <w:fldChar w:fldCharType="separate"/>
            </w:r>
            <w:r w:rsidRPr="00FE76C8">
              <w:rPr>
                <w:rFonts w:ascii="Arial Narrow" w:hAnsi="Arial Narrow"/>
              </w:rPr>
              <w:t>(Low et al. 2018)</w:t>
            </w:r>
            <w:r w:rsidRPr="00FE76C8">
              <w:rPr>
                <w:rFonts w:ascii="Arial Narrow" w:hAnsi="Arial Narrow"/>
              </w:rPr>
              <w:fldChar w:fldCharType="end"/>
            </w:r>
          </w:p>
        </w:tc>
        <w:tc>
          <w:tcPr>
            <w:tcW w:w="0" w:type="auto"/>
          </w:tcPr>
          <w:p w14:paraId="4E7BA01E" w14:textId="77777777" w:rsidR="006A1612" w:rsidRPr="00FE76C8" w:rsidRDefault="006A1612" w:rsidP="000F3B2B">
            <w:pPr>
              <w:jc w:val="center"/>
              <w:rPr>
                <w:rFonts w:ascii="Arial Narrow" w:hAnsi="Arial Narrow"/>
              </w:rPr>
            </w:pPr>
            <w:r w:rsidRPr="00FE76C8">
              <w:rPr>
                <w:rFonts w:ascii="Arial Narrow" w:hAnsi="Arial Narrow"/>
              </w:rPr>
              <w:t>Systematic review - Cohort studies</w:t>
            </w:r>
          </w:p>
        </w:tc>
        <w:tc>
          <w:tcPr>
            <w:tcW w:w="0" w:type="auto"/>
          </w:tcPr>
          <w:p w14:paraId="77BA8CE4" w14:textId="77777777" w:rsidR="006A1612" w:rsidRPr="00FE76C8" w:rsidRDefault="006A1612" w:rsidP="000F3B2B">
            <w:pPr>
              <w:jc w:val="center"/>
              <w:rPr>
                <w:rFonts w:ascii="Arial Narrow" w:hAnsi="Arial Narrow"/>
              </w:rPr>
            </w:pPr>
            <w:r w:rsidRPr="00FE76C8">
              <w:rPr>
                <w:rFonts w:ascii="Arial Narrow" w:hAnsi="Arial Narrow"/>
              </w:rPr>
              <w:t>Severe Dengue and non-severe Dengue according to WHO criteria.</w:t>
            </w:r>
          </w:p>
        </w:tc>
        <w:tc>
          <w:tcPr>
            <w:tcW w:w="0" w:type="auto"/>
          </w:tcPr>
          <w:p w14:paraId="4ABBF98B" w14:textId="77777777" w:rsidR="006A1612" w:rsidRPr="00FE76C8" w:rsidRDefault="006A1612" w:rsidP="000F3B2B">
            <w:pPr>
              <w:jc w:val="center"/>
              <w:rPr>
                <w:rFonts w:ascii="Arial Narrow" w:hAnsi="Arial Narrow"/>
              </w:rPr>
            </w:pPr>
            <w:r w:rsidRPr="00FE76C8">
              <w:rPr>
                <w:rFonts w:ascii="Arial Narrow" w:hAnsi="Arial Narrow"/>
              </w:rPr>
              <w:t>Vesicular wall thickening &gt;3 mm</w:t>
            </w:r>
          </w:p>
        </w:tc>
        <w:tc>
          <w:tcPr>
            <w:tcW w:w="0" w:type="auto"/>
          </w:tcPr>
          <w:p w14:paraId="286126EF" w14:textId="77777777" w:rsidR="006A1612" w:rsidRPr="00FE76C8" w:rsidRDefault="006A1612" w:rsidP="000F3B2B">
            <w:pPr>
              <w:jc w:val="center"/>
              <w:rPr>
                <w:rFonts w:ascii="Arial Narrow" w:hAnsi="Arial Narrow"/>
              </w:rPr>
            </w:pPr>
            <w:r w:rsidRPr="00FE76C8">
              <w:rPr>
                <w:rFonts w:ascii="Arial Narrow" w:hAnsi="Arial Narrow"/>
              </w:rPr>
              <w:t>24,2-100</w:t>
            </w:r>
          </w:p>
        </w:tc>
        <w:tc>
          <w:tcPr>
            <w:tcW w:w="0" w:type="auto"/>
          </w:tcPr>
          <w:p w14:paraId="321F65B5" w14:textId="77777777" w:rsidR="006A1612" w:rsidRPr="00FE76C8" w:rsidRDefault="006A1612" w:rsidP="000F3B2B">
            <w:pPr>
              <w:jc w:val="center"/>
              <w:rPr>
                <w:rFonts w:ascii="Arial Narrow" w:hAnsi="Arial Narrow"/>
              </w:rPr>
            </w:pPr>
            <w:r w:rsidRPr="00FE76C8">
              <w:rPr>
                <w:rFonts w:ascii="Arial Narrow" w:hAnsi="Arial Narrow"/>
              </w:rPr>
              <w:t>13,2-98,7</w:t>
            </w:r>
          </w:p>
        </w:tc>
        <w:tc>
          <w:tcPr>
            <w:tcW w:w="0" w:type="auto"/>
          </w:tcPr>
          <w:p w14:paraId="798DA425" w14:textId="77777777" w:rsidR="006A1612" w:rsidRPr="00FE76C8" w:rsidRDefault="006A1612" w:rsidP="000F3B2B">
            <w:pPr>
              <w:jc w:val="center"/>
              <w:rPr>
                <w:rFonts w:ascii="Arial Narrow" w:hAnsi="Arial Narrow"/>
              </w:rPr>
            </w:pPr>
            <w:r w:rsidRPr="00FE76C8">
              <w:rPr>
                <w:rFonts w:ascii="Arial Narrow" w:hAnsi="Arial Narrow"/>
              </w:rPr>
              <w:t>Not reported</w:t>
            </w:r>
          </w:p>
        </w:tc>
        <w:tc>
          <w:tcPr>
            <w:tcW w:w="0" w:type="auto"/>
          </w:tcPr>
          <w:p w14:paraId="49DF2603" w14:textId="77777777" w:rsidR="006A1612" w:rsidRPr="00FE76C8" w:rsidRDefault="006A1612" w:rsidP="000F3B2B">
            <w:pPr>
              <w:jc w:val="center"/>
              <w:rPr>
                <w:rFonts w:ascii="Arial Narrow" w:hAnsi="Arial Narrow"/>
              </w:rPr>
            </w:pPr>
            <w:r w:rsidRPr="00FE76C8">
              <w:rPr>
                <w:rFonts w:ascii="Arial Narrow" w:hAnsi="Arial Narrow"/>
              </w:rPr>
              <w:t>Not reported</w:t>
            </w:r>
          </w:p>
        </w:tc>
      </w:tr>
    </w:tbl>
    <w:p w14:paraId="02DD5F23" w14:textId="77777777" w:rsidR="006A1612" w:rsidRPr="00FE76C8" w:rsidRDefault="006A1612" w:rsidP="006A1612">
      <w:pPr>
        <w:spacing w:after="0" w:line="240" w:lineRule="auto"/>
        <w:jc w:val="center"/>
        <w:rPr>
          <w:rFonts w:ascii="Arial Narrow" w:eastAsia="Arial Narrow" w:hAnsi="Arial Narrow" w:cs="Arial Narrow"/>
        </w:rPr>
      </w:pPr>
    </w:p>
    <w:p w14:paraId="01976310" w14:textId="77777777" w:rsidR="006A1612" w:rsidRPr="00FE76C8" w:rsidRDefault="006A1612" w:rsidP="006A1612">
      <w:pPr>
        <w:spacing w:after="0" w:line="240" w:lineRule="auto"/>
        <w:jc w:val="center"/>
        <w:rPr>
          <w:rFonts w:ascii="Arial Narrow" w:eastAsiaTheme="majorEastAsia" w:hAnsi="Arial Narrow" w:cstheme="majorBidi"/>
          <w:b/>
          <w:bCs/>
        </w:rPr>
      </w:pPr>
      <w:r w:rsidRPr="00FE76C8">
        <w:rPr>
          <w:rFonts w:ascii="Arial Narrow" w:eastAsia="Arial Narrow" w:hAnsi="Arial Narrow" w:cs="Arial Narrow"/>
        </w:rPr>
        <w:t>Source: Own elaboration Based on (Dewan et al. 2021).</w:t>
      </w:r>
    </w:p>
    <w:p w14:paraId="27C009C6" w14:textId="77777777" w:rsidR="006A1612" w:rsidRPr="00FE76C8" w:rsidRDefault="006A1612" w:rsidP="006A1612">
      <w:r w:rsidRPr="00FE76C8">
        <w:br w:type="page"/>
      </w:r>
    </w:p>
    <w:p w14:paraId="0D43BACE" w14:textId="77777777" w:rsidR="006A1612" w:rsidRPr="006401AE" w:rsidRDefault="006A1612" w:rsidP="006A1612">
      <w:pPr>
        <w:pStyle w:val="Descripcin"/>
        <w:jc w:val="center"/>
        <w:rPr>
          <w:rFonts w:ascii="Arial Narrow" w:eastAsia="Arial Narrow" w:hAnsi="Arial Narrow" w:cs="Arial Narrow"/>
          <w:b/>
          <w:bCs/>
          <w:i w:val="0"/>
          <w:iCs w:val="0"/>
          <w:color w:val="auto"/>
          <w:sz w:val="22"/>
          <w:szCs w:val="22"/>
        </w:rPr>
      </w:pPr>
      <w:bookmarkStart w:id="1" w:name="_Toc153812324"/>
      <w:r w:rsidRPr="006401AE">
        <w:rPr>
          <w:rFonts w:ascii="Arial Narrow" w:eastAsia="Arial Narrow" w:hAnsi="Arial Narrow" w:cs="Arial Narrow"/>
          <w:b/>
          <w:bCs/>
          <w:i w:val="0"/>
          <w:iCs w:val="0"/>
          <w:color w:val="auto"/>
          <w:sz w:val="22"/>
          <w:szCs w:val="22"/>
        </w:rPr>
        <w:lastRenderedPageBreak/>
        <w:t>Table 3. Variables present in the Conceptual Model</w:t>
      </w:r>
      <w:bookmarkEnd w:id="1"/>
    </w:p>
    <w:tbl>
      <w:tblPr>
        <w:tblStyle w:val="Tablaconcuadrcula"/>
        <w:tblW w:w="5000" w:type="pct"/>
        <w:tblLook w:val="04A0" w:firstRow="1" w:lastRow="0" w:firstColumn="1" w:lastColumn="0" w:noHBand="0" w:noVBand="1"/>
      </w:tblPr>
      <w:tblGrid>
        <w:gridCol w:w="2302"/>
        <w:gridCol w:w="3143"/>
        <w:gridCol w:w="6205"/>
        <w:gridCol w:w="2740"/>
      </w:tblGrid>
      <w:tr w:rsidR="006A1612" w:rsidRPr="006401AE" w14:paraId="1A38D42F" w14:textId="77777777" w:rsidTr="000F3B2B">
        <w:tc>
          <w:tcPr>
            <w:tcW w:w="800" w:type="pct"/>
          </w:tcPr>
          <w:p w14:paraId="7A623B50" w14:textId="77777777" w:rsidR="006A1612" w:rsidRPr="006401AE" w:rsidRDefault="006A1612" w:rsidP="000F3B2B">
            <w:pPr>
              <w:jc w:val="both"/>
              <w:rPr>
                <w:rFonts w:ascii="Arial Narrow" w:eastAsia="Arial Narrow" w:hAnsi="Arial Narrow" w:cs="Arial Narrow"/>
                <w:b/>
                <w:bCs/>
              </w:rPr>
            </w:pPr>
            <w:r w:rsidRPr="006401AE">
              <w:rPr>
                <w:rFonts w:ascii="Arial Narrow" w:eastAsia="Arial Narrow" w:hAnsi="Arial Narrow" w:cs="Arial Narrow"/>
                <w:b/>
                <w:bCs/>
              </w:rPr>
              <w:t>Variable</w:t>
            </w:r>
          </w:p>
        </w:tc>
        <w:tc>
          <w:tcPr>
            <w:tcW w:w="1092" w:type="pct"/>
          </w:tcPr>
          <w:p w14:paraId="258A5B09" w14:textId="77777777" w:rsidR="006A1612" w:rsidRPr="006401AE" w:rsidRDefault="006A1612" w:rsidP="000F3B2B">
            <w:pPr>
              <w:jc w:val="both"/>
              <w:rPr>
                <w:rFonts w:ascii="Arial Narrow" w:eastAsia="Arial Narrow" w:hAnsi="Arial Narrow" w:cs="Arial Narrow"/>
                <w:b/>
                <w:bCs/>
              </w:rPr>
            </w:pPr>
            <w:r w:rsidRPr="006401AE">
              <w:rPr>
                <w:rFonts w:ascii="Arial Narrow" w:eastAsia="Arial Narrow" w:hAnsi="Arial Narrow" w:cs="Arial Narrow"/>
                <w:b/>
                <w:bCs/>
              </w:rPr>
              <w:t>Description</w:t>
            </w:r>
          </w:p>
        </w:tc>
        <w:tc>
          <w:tcPr>
            <w:tcW w:w="2156" w:type="pct"/>
          </w:tcPr>
          <w:p w14:paraId="47D31C32" w14:textId="77777777" w:rsidR="006A1612" w:rsidRPr="006401AE" w:rsidRDefault="006A1612" w:rsidP="000F3B2B">
            <w:pPr>
              <w:jc w:val="both"/>
              <w:rPr>
                <w:rFonts w:ascii="Arial Narrow" w:eastAsia="Arial Narrow" w:hAnsi="Arial Narrow" w:cs="Arial Narrow"/>
                <w:b/>
                <w:bCs/>
              </w:rPr>
            </w:pPr>
            <w:r w:rsidRPr="006401AE">
              <w:rPr>
                <w:rFonts w:ascii="Arial Narrow" w:eastAsia="Arial Narrow" w:hAnsi="Arial Narrow" w:cs="Arial Narrow"/>
                <w:b/>
                <w:bCs/>
              </w:rPr>
              <w:t>Representation in the model</w:t>
            </w:r>
          </w:p>
        </w:tc>
        <w:tc>
          <w:tcPr>
            <w:tcW w:w="952" w:type="pct"/>
          </w:tcPr>
          <w:p w14:paraId="08ED7F49" w14:textId="77777777" w:rsidR="006A1612" w:rsidRPr="006401AE" w:rsidRDefault="006A1612" w:rsidP="000F3B2B">
            <w:pPr>
              <w:jc w:val="both"/>
              <w:rPr>
                <w:rFonts w:ascii="Arial Narrow" w:eastAsia="Arial Narrow" w:hAnsi="Arial Narrow" w:cs="Arial Narrow"/>
                <w:b/>
                <w:bCs/>
              </w:rPr>
            </w:pPr>
            <w:r w:rsidRPr="006401AE">
              <w:rPr>
                <w:rFonts w:ascii="Arial Narrow" w:eastAsia="Arial Narrow" w:hAnsi="Arial Narrow" w:cs="Arial Narrow"/>
                <w:b/>
                <w:bCs/>
              </w:rPr>
              <w:t>Initial values</w:t>
            </w:r>
          </w:p>
        </w:tc>
      </w:tr>
      <w:tr w:rsidR="006A1612" w:rsidRPr="00FE76C8" w14:paraId="11CFA235" w14:textId="77777777" w:rsidTr="000F3B2B">
        <w:tc>
          <w:tcPr>
            <w:tcW w:w="800" w:type="pct"/>
          </w:tcPr>
          <w:p w14:paraId="1130DF8D"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Learning curve</w:t>
            </w:r>
          </w:p>
        </w:tc>
        <w:tc>
          <w:tcPr>
            <w:tcW w:w="1092" w:type="pct"/>
          </w:tcPr>
          <w:p w14:paraId="1AFCDAD9"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It graphically represents the relationship between learning effort (e.g., time, repetitions) and learning outcomes. </w:t>
            </w:r>
            <w:r w:rsidRPr="00FE76C8">
              <w:rPr>
                <w:rFonts w:ascii="Arial Narrow" w:eastAsia="Arial Narrow" w:hAnsi="Arial Narrow" w:cs="Arial Narrow"/>
              </w:rPr>
              <w:fldChar w:fldCharType="begin" w:fldLock="1"/>
            </w:r>
            <w:r w:rsidRPr="00FE76C8">
              <w:rPr>
                <w:rFonts w:ascii="Arial Narrow" w:eastAsia="Arial Narrow" w:hAnsi="Arial Narrow" w:cs="Arial Narrow"/>
              </w:rPr>
              <w:instrText>ADDIN CSL_CITATION {"citationItems":[{"id":"ITEM-1","itemData":{"DOI":"10.1097/ACM.0000000000000681","ISBN":"0000000000000","ISSN":"1938808X","PMID":"25806621","abstract":"Learning curves, which graphically show the relationship between learning effort and achievement, are common in published education research but are not often used in day-to-day educational activities. The purpose of this article is to describe the generation and analysis of learning curves and their applicability to health professions education. The authors argue that the time is right for a closer look at using learning curves - given their desirable properties - to inform both self-directed instruction by individuals and education management by instructors. A typical learning curve is made up of a measure of learning (y-axis), a measure of effort (x-axis), and a mathematical linking function. At the individual level, learning curves make manifest a single person's progress towards competence including his/her rate of learning, the inflection point where learning becomes more effortful, and the remaining distance to mastery attainment. At the group level, overlaid learning curves show the full variation of a group of learners' paths through a given learning domain. Specifically, they make overt the difference between time-based and competency-based approaches to instruction. Additionally, instructors can use learning curve information to more accurately target educational resources to those who most require them. The learning curve approach requires a fine-grained collection of data that will not be possible in all educational settings; however, the increased use of an assessment paradigm that explicitly includes effort and its link to individual achievement could result in increased learner engagement and more effective instructional design.","author":[{"dropping-particle":"V.","family":"Pusic","given":"Martin","non-dropping-particle":"","parse-names":false,"suffix":""},{"dropping-particle":"","family":"Boutis","given":"Kathy","non-dropping-particle":"","parse-names":false,"suffix":""},{"dropping-particle":"","family":"Hatala","given":"Rose","non-dropping-particle":"","parse-names":false,"suffix":""},{"dropping-particle":"","family":"Cook","given":"David A.","non-dropping-particle":"","parse-names":false,"suffix":""}],"container-title":"Academic Medicine","id":"ITEM-1","issue":"8","issued":{"date-parts":[["2015"]]},"page":"1034-1042","title":"Learning Curves in Health Professions Education","type":"article-journal","volume":"90"},"uris":["http://www.mendeley.com/documents/?uuid=d8eda868-f88a-48ea-aac9-928c8e5a4bc7"]}],"mendeley":{"formattedCitation":"(Pusic et al. 2015)","plainTextFormattedCitation":"(Pusic et al. 2015)","previouslyFormattedCitation":"(Pusic et al. 2015)"},"properties":{"noteIndex":0},"schema":"https://github.com/citation-style-language/schema/raw/master/csl-citation.json"}</w:instrText>
            </w:r>
            <w:r w:rsidRPr="00FE76C8">
              <w:rPr>
                <w:rFonts w:ascii="Arial Narrow" w:eastAsia="Arial Narrow" w:hAnsi="Arial Narrow" w:cs="Arial Narrow"/>
              </w:rPr>
              <w:fldChar w:fldCharType="separate"/>
            </w:r>
            <w:r w:rsidRPr="00FE76C8">
              <w:rPr>
                <w:rFonts w:ascii="Arial Narrow" w:eastAsia="Arial Narrow" w:hAnsi="Arial Narrow" w:cs="Arial Narrow"/>
                <w:noProof/>
              </w:rPr>
              <w:t>(Pusic et al. 2015)</w:t>
            </w:r>
            <w:r w:rsidRPr="00FE76C8">
              <w:rPr>
                <w:rFonts w:ascii="Arial Narrow" w:eastAsia="Arial Narrow" w:hAnsi="Arial Narrow" w:cs="Arial Narrow"/>
              </w:rPr>
              <w:fldChar w:fldCharType="end"/>
            </w:r>
          </w:p>
        </w:tc>
        <w:tc>
          <w:tcPr>
            <w:tcW w:w="2156" w:type="pct"/>
          </w:tcPr>
          <w:p w14:paraId="71647A44"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LC-CUSUM and CUSUM control charts.</w:t>
            </w:r>
          </w:p>
          <w:p w14:paraId="36B36ED3" w14:textId="77777777" w:rsidR="006A1612" w:rsidRPr="00FE76C8" w:rsidRDefault="006A1612" w:rsidP="000F3B2B">
            <w:pPr>
              <w:jc w:val="both"/>
              <w:rPr>
                <w:rFonts w:ascii="Arial Narrow" w:eastAsia="Arial Narrow" w:hAnsi="Arial Narrow" w:cs="Arial Narrow"/>
              </w:rPr>
            </w:pPr>
          </w:p>
        </w:tc>
        <w:tc>
          <w:tcPr>
            <w:tcW w:w="952" w:type="pct"/>
          </w:tcPr>
          <w:p w14:paraId="1CAF72B1"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St was modeled as a Bernoulli distribution, (simulation in STELLA as a binomial distribution with N = 1) with 80% probability of success, being possible to adjust this parameter by the user of the simulation.</w:t>
            </w:r>
          </w:p>
        </w:tc>
      </w:tr>
      <w:tr w:rsidR="006A1612" w:rsidRPr="00FE76C8" w14:paraId="5D60D2D2" w14:textId="77777777" w:rsidTr="000F3B2B">
        <w:tc>
          <w:tcPr>
            <w:tcW w:w="800" w:type="pct"/>
          </w:tcPr>
          <w:p w14:paraId="658E7DAE"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Patient demand</w:t>
            </w:r>
          </w:p>
        </w:tc>
        <w:tc>
          <w:tcPr>
            <w:tcW w:w="1092" w:type="pct"/>
          </w:tcPr>
          <w:p w14:paraId="26785F6B"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Demand for patients admitted to the emergency department with febrile syndrome and diagnosed with dengue virus disease by the attending physician.  As recommended by the WHO, see </w:t>
            </w:r>
            <w:r w:rsidRPr="00FE76C8">
              <w:rPr>
                <w:rFonts w:ascii="Arial Narrow" w:eastAsia="Arial Narrow" w:hAnsi="Arial Narrow" w:cs="Arial Narrow"/>
              </w:rPr>
              <w:fldChar w:fldCharType="begin"/>
            </w:r>
            <w:r w:rsidRPr="00FE76C8">
              <w:rPr>
                <w:rFonts w:ascii="Arial Narrow" w:eastAsia="Arial Narrow" w:hAnsi="Arial Narrow" w:cs="Arial Narrow"/>
              </w:rPr>
              <w:instrText xml:space="preserve"> REF _Ref116055928 \h </w:instrText>
            </w:r>
            <w:r w:rsidRPr="00FE76C8">
              <w:rPr>
                <w:rFonts w:ascii="Arial Narrow" w:eastAsia="Arial Narrow" w:hAnsi="Arial Narrow" w:cs="Arial Narrow"/>
              </w:rPr>
            </w:r>
            <w:r w:rsidRPr="00FE76C8">
              <w:rPr>
                <w:rFonts w:ascii="Arial Narrow" w:eastAsia="Arial Narrow" w:hAnsi="Arial Narrow" w:cs="Arial Narrow"/>
              </w:rPr>
              <w:fldChar w:fldCharType="separate"/>
            </w:r>
            <w:r w:rsidRPr="00FE76C8">
              <w:rPr>
                <w:rFonts w:ascii="Arial Narrow" w:hAnsi="Arial Narrow"/>
              </w:rPr>
              <w:t xml:space="preserve">Illustration </w:t>
            </w:r>
            <w:r w:rsidRPr="00FE76C8">
              <w:rPr>
                <w:rFonts w:ascii="Arial Narrow" w:hAnsi="Arial Narrow"/>
                <w:i/>
                <w:iCs/>
                <w:noProof/>
              </w:rPr>
              <w:t>22</w:t>
            </w:r>
            <w:r w:rsidRPr="00FE76C8">
              <w:rPr>
                <w:rFonts w:ascii="Arial Narrow" w:eastAsia="Arial Narrow" w:hAnsi="Arial Narrow" w:cs="Arial Narrow"/>
              </w:rPr>
              <w:fldChar w:fldCharType="end"/>
            </w:r>
            <w:r w:rsidRPr="00FE76C8">
              <w:rPr>
                <w:rFonts w:ascii="Arial Narrow" w:eastAsia="Arial Narrow" w:hAnsi="Arial Narrow" w:cs="Arial Narrow"/>
              </w:rPr>
              <w:t>.</w:t>
            </w:r>
          </w:p>
        </w:tc>
        <w:tc>
          <w:tcPr>
            <w:tcW w:w="2156" w:type="pct"/>
          </w:tcPr>
          <w:p w14:paraId="72F1523A"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Poisson distribution of prospective cohort study data, in the units of simulation time, days.</w:t>
            </w:r>
          </w:p>
          <w:p w14:paraId="2EEC6A6A" w14:textId="77777777" w:rsidR="006A1612" w:rsidRPr="00FE76C8" w:rsidRDefault="006A1612" w:rsidP="000F3B2B">
            <w:pPr>
              <w:jc w:val="both"/>
              <w:rPr>
                <w:rFonts w:ascii="Arial Narrow" w:eastAsia="Arial Narrow" w:hAnsi="Arial Narrow" w:cs="Arial Narrow"/>
              </w:rPr>
            </w:pPr>
          </w:p>
          <w:p w14:paraId="3EBB3B33"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The function used in STELLA generates a series of random numbers that conform to a Poisson distribution.</w:t>
            </w:r>
          </w:p>
        </w:tc>
        <w:tc>
          <w:tcPr>
            <w:tcW w:w="952" w:type="pct"/>
          </w:tcPr>
          <w:p w14:paraId="2FDAF370"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Data corresponding to the prospective cohort study, described in Chapter 5, during the months of April 2019 and March 2020.</w:t>
            </w:r>
          </w:p>
          <w:p w14:paraId="7DB9D657"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Table 4.</w:t>
            </w:r>
          </w:p>
        </w:tc>
      </w:tr>
      <w:tr w:rsidR="006A1612" w:rsidRPr="00FE76C8" w14:paraId="531B5EE3" w14:textId="77777777" w:rsidTr="000F3B2B">
        <w:tc>
          <w:tcPr>
            <w:tcW w:w="800" w:type="pct"/>
          </w:tcPr>
          <w:p w14:paraId="6684AEDC"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Types of patients</w:t>
            </w:r>
          </w:p>
        </w:tc>
        <w:tc>
          <w:tcPr>
            <w:tcW w:w="1092" w:type="pct"/>
          </w:tcPr>
          <w:p w14:paraId="0B350F55"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Children or obese patients that may limit the acoustic window </w:t>
            </w:r>
            <w:r w:rsidRPr="00FE76C8">
              <w:rPr>
                <w:rFonts w:ascii="Arial Narrow" w:eastAsia="Arial Narrow" w:hAnsi="Arial Narrow" w:cs="Arial Narrow"/>
              </w:rPr>
              <w:fldChar w:fldCharType="begin" w:fldLock="1"/>
            </w:r>
            <w:r w:rsidRPr="00FE76C8">
              <w:rPr>
                <w:rFonts w:ascii="Arial Narrow" w:eastAsia="Arial Narrow" w:hAnsi="Arial Narrow" w:cs="Arial Narrow"/>
              </w:rPr>
              <w:instrText>ADDIN CSL_CITATION {"citationItems":[{"id":"ITEM-1","itemData":{"DOI":"10.1016/S0716-8640(11)70475-8","ISSN":"07168640","abstract":"Initial management of trauma patients is one of the greatest challenges in clinical practice, because it requires very quick decision based primarily on clinical criteria. FAST ultrasound has proven useful for detecting bleeding in the chest and abdomen, for detecting cardiac tamponade in penetrating chest trauma patient and suspect the presence of pneumothorax. This has become a valuable tool for therapeutic decision making in trauma patients, as well as the selection of patients in disaster situations.","author":[{"dropping-particle":"","family":"Catán G","given":"Felipe","non-dropping-particle":"","parse-names":false,"suffix":""},{"dropping-particle":"","family":"Villao M","given":"Diva .","non-dropping-particle":"","parse-names":false,"suffix":""},{"dropping-particle":"","family":"Astudillo D","given":"Cristián","non-dropping-particle":"","parse-names":false,"suffix":""}],"container-title":"Revista Médica Clínica Las Condes","id":"ITEM-1","issue":"5","issued":{"date-parts":[["2011"]]},"page":"633-639","title":"Ecografía fast en la evaluación de pacientes traumatizados","type":"article-journal","volume":"22"},"uris":["http://www.mendeley.com/documents/?uuid=78bc72d9-7373-44da-9a5f-5c5424eb0d81"]}],"mendeley":{"formattedCitation":"(Catán G, Villao M, and Astudillo D 2011)","plainTextFormattedCitation":"(Catán G, Villao M, and Astudillo D 2011)","previouslyFormattedCitation":"(Catán G, Villao M, and Astudillo D 2011)"},"properties":{"noteIndex":0},"schema":"https://github.com/citation-style-language/schema/raw/master/csl-citation.json"}</w:instrText>
            </w:r>
            <w:r w:rsidRPr="00FE76C8">
              <w:rPr>
                <w:rFonts w:ascii="Arial Narrow" w:eastAsia="Arial Narrow" w:hAnsi="Arial Narrow" w:cs="Arial Narrow"/>
              </w:rPr>
              <w:fldChar w:fldCharType="separate"/>
            </w:r>
            <w:r w:rsidRPr="00FE76C8">
              <w:rPr>
                <w:rFonts w:ascii="Arial Narrow" w:eastAsia="Arial Narrow" w:hAnsi="Arial Narrow" w:cs="Arial Narrow"/>
                <w:noProof/>
              </w:rPr>
              <w:t>(Catán G, Villao M, and Astudillo D 2011)</w:t>
            </w:r>
            <w:r w:rsidRPr="00FE76C8">
              <w:rPr>
                <w:rFonts w:ascii="Arial Narrow" w:eastAsia="Arial Narrow" w:hAnsi="Arial Narrow" w:cs="Arial Narrow"/>
              </w:rPr>
              <w:fldChar w:fldCharType="end"/>
            </w:r>
          </w:p>
        </w:tc>
        <w:tc>
          <w:tcPr>
            <w:tcW w:w="2156" w:type="pct"/>
          </w:tcPr>
          <w:p w14:paraId="0D99E874"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Because diversity in patient types impacts the learning curve, it is represented in the model by the binomial distribution with N = 1 that generates a series of random numbers from a discrete probability distribution of the number of successes in a sequence of attempts with a given probability of success. </w:t>
            </w:r>
          </w:p>
        </w:tc>
        <w:tc>
          <w:tcPr>
            <w:tcW w:w="952" w:type="pct"/>
            <w:vMerge w:val="restart"/>
          </w:tcPr>
          <w:p w14:paraId="647762EF"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Bernoulli distribution, (simulation in STELLA as a binomial distribution with N = 1) with 80% probability of success</w:t>
            </w:r>
          </w:p>
        </w:tc>
      </w:tr>
      <w:tr w:rsidR="006A1612" w:rsidRPr="00FE76C8" w14:paraId="2562D7A5" w14:textId="77777777" w:rsidTr="000F3B2B">
        <w:tc>
          <w:tcPr>
            <w:tcW w:w="800" w:type="pct"/>
          </w:tcPr>
          <w:p w14:paraId="5C14122A"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Ultrasound points</w:t>
            </w:r>
          </w:p>
        </w:tc>
        <w:tc>
          <w:tcPr>
            <w:tcW w:w="1092" w:type="pct"/>
          </w:tcPr>
          <w:p w14:paraId="0909BE1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Refers to the anatomical location for image or video acquisition.</w:t>
            </w:r>
          </w:p>
        </w:tc>
        <w:tc>
          <w:tcPr>
            <w:tcW w:w="2156" w:type="pct"/>
          </w:tcPr>
          <w:p w14:paraId="55CE09E3"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According to what was analyzed in chapter 5, there is greater difficulty in reaching competence in certain anatomical points, in this sense, the model represents a single learning curve that should be the one that represents the highest degree of difficulty </w:t>
            </w:r>
          </w:p>
        </w:tc>
        <w:tc>
          <w:tcPr>
            <w:tcW w:w="952" w:type="pct"/>
            <w:vMerge/>
          </w:tcPr>
          <w:p w14:paraId="5C5E36A2" w14:textId="77777777" w:rsidR="006A1612" w:rsidRPr="00FE76C8" w:rsidRDefault="006A1612" w:rsidP="000F3B2B">
            <w:pPr>
              <w:jc w:val="both"/>
              <w:rPr>
                <w:rFonts w:ascii="Arial Narrow" w:eastAsia="Arial Narrow" w:hAnsi="Arial Narrow" w:cs="Arial Narrow"/>
              </w:rPr>
            </w:pPr>
          </w:p>
        </w:tc>
      </w:tr>
      <w:tr w:rsidR="006A1612" w:rsidRPr="00FE76C8" w14:paraId="382382B7" w14:textId="77777777" w:rsidTr="000F3B2B">
        <w:tc>
          <w:tcPr>
            <w:tcW w:w="800" w:type="pct"/>
          </w:tcPr>
          <w:p w14:paraId="5BF792E8"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Image quality</w:t>
            </w:r>
          </w:p>
        </w:tc>
        <w:tc>
          <w:tcPr>
            <w:tcW w:w="1092" w:type="pct"/>
          </w:tcPr>
          <w:p w14:paraId="43CBB070"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The image quality measurement scale used in the pilot and cohort study was the one recommended by ACEP, see Table 1. </w:t>
            </w:r>
            <w:r w:rsidRPr="00FE76C8">
              <w:rPr>
                <w:rFonts w:ascii="Arial Narrow" w:eastAsia="Arial Narrow" w:hAnsi="Arial Narrow" w:cs="Arial Narrow"/>
              </w:rPr>
              <w:fldChar w:fldCharType="begin"/>
            </w:r>
            <w:r w:rsidRPr="00FE76C8">
              <w:rPr>
                <w:rFonts w:ascii="Arial Narrow" w:eastAsia="Arial Narrow" w:hAnsi="Arial Narrow" w:cs="Arial Narrow"/>
              </w:rPr>
              <w:instrText xml:space="preserve"> REF _Ref90047151 \h  \* MERGEFORMAT </w:instrText>
            </w:r>
            <w:r w:rsidRPr="00FE76C8">
              <w:rPr>
                <w:rFonts w:ascii="Arial Narrow" w:eastAsia="Arial Narrow" w:hAnsi="Arial Narrow" w:cs="Arial Narrow"/>
              </w:rPr>
            </w:r>
            <w:r w:rsidRPr="00FE76C8">
              <w:rPr>
                <w:rFonts w:ascii="Arial Narrow" w:eastAsia="Arial Narrow" w:hAnsi="Arial Narrow" w:cs="Arial Narrow"/>
              </w:rPr>
              <w:fldChar w:fldCharType="separate"/>
            </w:r>
            <w:r w:rsidRPr="00FE76C8">
              <w:rPr>
                <w:rFonts w:ascii="Arial Narrow" w:hAnsi="Arial Narrow"/>
              </w:rPr>
              <w:t xml:space="preserve">Table </w:t>
            </w:r>
            <w:r w:rsidRPr="00FE76C8">
              <w:rPr>
                <w:rFonts w:ascii="Arial Narrow" w:hAnsi="Arial Narrow"/>
                <w:noProof/>
              </w:rPr>
              <w:t>9</w:t>
            </w:r>
            <w:r w:rsidRPr="00FE76C8">
              <w:rPr>
                <w:rFonts w:ascii="Arial Narrow" w:eastAsia="Arial Narrow" w:hAnsi="Arial Narrow" w:cs="Arial Narrow"/>
              </w:rPr>
              <w:fldChar w:fldCharType="end"/>
            </w:r>
            <w:r w:rsidRPr="00FE76C8">
              <w:rPr>
                <w:rFonts w:ascii="Arial Narrow" w:eastAsia="Arial Narrow" w:hAnsi="Arial Narrow" w:cs="Arial Narrow"/>
              </w:rPr>
              <w:t>.</w:t>
            </w:r>
          </w:p>
        </w:tc>
        <w:tc>
          <w:tcPr>
            <w:tcW w:w="2156" w:type="pct"/>
          </w:tcPr>
          <w:p w14:paraId="783C9093"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According to what was analyzed in chapter 5, the quality of the image influences the success or failure in the interpretation of the image and therefore in the construction of the learning curve. In the model it is represented by means of the binomial distribution with N = 1</w:t>
            </w:r>
          </w:p>
        </w:tc>
        <w:tc>
          <w:tcPr>
            <w:tcW w:w="952" w:type="pct"/>
            <w:vMerge/>
          </w:tcPr>
          <w:p w14:paraId="46835A14" w14:textId="77777777" w:rsidR="006A1612" w:rsidRPr="00FE76C8" w:rsidRDefault="006A1612" w:rsidP="000F3B2B">
            <w:pPr>
              <w:jc w:val="both"/>
              <w:rPr>
                <w:rFonts w:ascii="Arial Narrow" w:eastAsia="Arial Narrow" w:hAnsi="Arial Narrow" w:cs="Arial Narrow"/>
              </w:rPr>
            </w:pPr>
          </w:p>
        </w:tc>
      </w:tr>
      <w:tr w:rsidR="006A1612" w:rsidRPr="00FE76C8" w14:paraId="2B084B7B" w14:textId="77777777" w:rsidTr="000F3B2B">
        <w:tc>
          <w:tcPr>
            <w:tcW w:w="800" w:type="pct"/>
          </w:tcPr>
          <w:p w14:paraId="455A6AF7"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sz w:val="16"/>
                <w:szCs w:val="16"/>
              </w:rPr>
              <w:t>Retraining</w:t>
            </w:r>
          </w:p>
        </w:tc>
        <w:tc>
          <w:tcPr>
            <w:tcW w:w="1092" w:type="pct"/>
          </w:tcPr>
          <w:p w14:paraId="38C66052"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Time at which the trainee loses proficiency during the monitoring stage.</w:t>
            </w:r>
          </w:p>
        </w:tc>
        <w:tc>
          <w:tcPr>
            <w:tcW w:w="2156" w:type="pct"/>
          </w:tcPr>
          <w:p w14:paraId="2D69F46B"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Point at which the limit </w:t>
            </w:r>
            <w:r w:rsidRPr="00FE76C8">
              <w:rPr>
                <w:rFonts w:ascii="Arial Narrow" w:eastAsia="Arial Narrow" w:hAnsi="Arial Narrow" w:cs="Arial Narrow"/>
                <w:i/>
                <w:iCs/>
              </w:rPr>
              <w:t xml:space="preserve">(h) </w:t>
            </w:r>
            <w:r w:rsidRPr="00FE76C8">
              <w:rPr>
                <w:rFonts w:ascii="Arial Narrow" w:eastAsia="Arial Narrow" w:hAnsi="Arial Narrow" w:cs="Arial Narrow"/>
              </w:rPr>
              <w:t>is exceeded on the CUSUM control chart</w:t>
            </w:r>
          </w:p>
        </w:tc>
        <w:tc>
          <w:tcPr>
            <w:tcW w:w="952" w:type="pct"/>
          </w:tcPr>
          <w:p w14:paraId="54D2836A"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0</w:t>
            </w:r>
          </w:p>
        </w:tc>
      </w:tr>
      <w:tr w:rsidR="006A1612" w:rsidRPr="00FE76C8" w14:paraId="316C2FBC" w14:textId="77777777" w:rsidTr="000F3B2B">
        <w:tc>
          <w:tcPr>
            <w:tcW w:w="800" w:type="pct"/>
          </w:tcPr>
          <w:p w14:paraId="78447C94"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lastRenderedPageBreak/>
              <w:t>Proper classification of dengue</w:t>
            </w:r>
          </w:p>
        </w:tc>
        <w:tc>
          <w:tcPr>
            <w:tcW w:w="1092" w:type="pct"/>
          </w:tcPr>
          <w:p w14:paraId="766C443B"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Represented by true negatives (diagnostic result with POCUS as absence of plasma leakage when it actually does not have this condition) and true positives (diagnostic result with POCUS as presence of plasma leakage when it actually has this condition).</w:t>
            </w:r>
          </w:p>
        </w:tc>
        <w:tc>
          <w:tcPr>
            <w:tcW w:w="2156" w:type="pct"/>
          </w:tcPr>
          <w:p w14:paraId="32827F0D"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Calculated from sensitivity and specificity values presented in the literature.</w:t>
            </w:r>
          </w:p>
          <w:p w14:paraId="5350D3B0" w14:textId="77777777" w:rsidR="006A1612" w:rsidRPr="00FE76C8" w:rsidRDefault="006A1612" w:rsidP="000F3B2B">
            <w:pPr>
              <w:jc w:val="both"/>
              <w:rPr>
                <w:rFonts w:ascii="Arial Narrow" w:eastAsia="Arial Narrow" w:hAnsi="Arial Narrow" w:cs="Arial Narrow"/>
              </w:rPr>
            </w:pPr>
          </w:p>
          <w:p w14:paraId="5ED5E918" w14:textId="77777777" w:rsidR="006A1612" w:rsidRPr="00FE76C8" w:rsidRDefault="006A1612" w:rsidP="000F3B2B">
            <w:pPr>
              <w:jc w:val="both"/>
              <w:rPr>
                <w:rFonts w:ascii="Arial Narrow" w:eastAsia="Arial Narrow" w:hAnsi="Arial Narrow" w:cs="Arial Narrow"/>
                <w:sz w:val="20"/>
                <w:szCs w:val="20"/>
              </w:rPr>
            </w:pPr>
            <m:oMathPara>
              <m:oMath>
                <m:r>
                  <m:rPr>
                    <m:sty m:val="p"/>
                  </m:rPr>
                  <w:rPr>
                    <w:rFonts w:ascii="Cambria Math" w:eastAsia="Arial Narrow" w:hAnsi="Cambria Math" w:cs="Cambria Math"/>
                    <w:sz w:val="20"/>
                    <w:szCs w:val="20"/>
                  </w:rPr>
                  <m:t>VN=</m:t>
                </m:r>
                <m:d>
                  <m:dPr>
                    <m:ctrlPr>
                      <w:rPr>
                        <w:rFonts w:ascii="Cambria Math" w:eastAsia="Arial Narrow" w:hAnsi="Cambria Math" w:cs="Cambria Math"/>
                        <w:sz w:val="20"/>
                        <w:szCs w:val="20"/>
                      </w:rPr>
                    </m:ctrlPr>
                  </m:dPr>
                  <m:e>
                    <m:f>
                      <m:fPr>
                        <m:ctrlPr>
                          <w:rPr>
                            <w:rFonts w:ascii="Cambria Math" w:eastAsia="Arial Narrow" w:hAnsi="Cambria Math" w:cs="Arial Narrow"/>
                            <w:sz w:val="20"/>
                            <w:szCs w:val="20"/>
                          </w:rPr>
                        </m:ctrlPr>
                      </m:fPr>
                      <m:num>
                        <m:r>
                          <w:rPr>
                            <w:rFonts w:ascii="Cambria Math" w:eastAsia="Arial Narrow" w:hAnsi="Cambria Math" w:cs="Arial Narrow"/>
                            <w:sz w:val="20"/>
                            <w:szCs w:val="20"/>
                          </w:rPr>
                          <m:t>Pacientes</m:t>
                        </m:r>
                        <m:func>
                          <m:funcPr>
                            <m:ctrlPr>
                              <w:rPr>
                                <w:rFonts w:ascii="Cambria Math" w:eastAsia="Arial Narrow" w:hAnsi="Cambria Math" w:cs="Arial Narrow"/>
                                <w:i/>
                                <w:sz w:val="20"/>
                                <w:szCs w:val="20"/>
                              </w:rPr>
                            </m:ctrlPr>
                          </m:funcPr>
                          <m:fName>
                            <m:r>
                              <m:rPr>
                                <m:sty m:val="p"/>
                              </m:rPr>
                              <w:rPr>
                                <w:rFonts w:ascii="Cambria Math" w:eastAsia="Arial Narrow" w:hAnsi="Cambria Math" w:cs="Arial Narrow"/>
                                <w:sz w:val="20"/>
                                <w:szCs w:val="20"/>
                              </w:rPr>
                              <m:t>sin</m:t>
                            </m:r>
                          </m:fName>
                          <m:e>
                            <m:r>
                              <w:rPr>
                                <w:rFonts w:ascii="Cambria Math" w:eastAsia="Arial Narrow" w:hAnsi="Cambria Math" w:cs="Arial Narrow"/>
                                <w:sz w:val="20"/>
                                <w:szCs w:val="20"/>
                              </w:rPr>
                              <m:t xml:space="preserve">fuga X Especificidad </m:t>
                            </m:r>
                          </m:e>
                        </m:func>
                      </m:num>
                      <m:den>
                        <m:r>
                          <w:rPr>
                            <w:rFonts w:ascii="Cambria Math" w:eastAsia="Arial Narrow" w:hAnsi="Cambria Math" w:cs="Arial Narrow"/>
                            <w:sz w:val="20"/>
                            <w:szCs w:val="20"/>
                          </w:rPr>
                          <m:t>100</m:t>
                        </m:r>
                      </m:den>
                    </m:f>
                  </m:e>
                </m:d>
              </m:oMath>
            </m:oMathPara>
          </w:p>
          <w:p w14:paraId="4F5C159C" w14:textId="77777777" w:rsidR="006A1612" w:rsidRPr="00FE76C8" w:rsidRDefault="006A1612" w:rsidP="000F3B2B">
            <w:pPr>
              <w:jc w:val="both"/>
              <w:rPr>
                <w:rFonts w:ascii="Arial Narrow" w:eastAsia="Arial Narrow" w:hAnsi="Arial Narrow" w:cs="Arial Narrow"/>
                <w:sz w:val="20"/>
                <w:szCs w:val="20"/>
              </w:rPr>
            </w:pPr>
            <m:oMathPara>
              <m:oMath>
                <m:r>
                  <m:rPr>
                    <m:sty m:val="p"/>
                  </m:rPr>
                  <w:rPr>
                    <w:rFonts w:ascii="Cambria Math" w:eastAsia="Arial Narrow" w:hAnsi="Cambria Math" w:cs="Cambria Math"/>
                    <w:sz w:val="20"/>
                    <w:szCs w:val="20"/>
                  </w:rPr>
                  <m:t>VP=</m:t>
                </m:r>
                <m:d>
                  <m:dPr>
                    <m:ctrlPr>
                      <w:rPr>
                        <w:rFonts w:ascii="Cambria Math" w:eastAsia="Arial Narrow" w:hAnsi="Cambria Math" w:cs="Cambria Math"/>
                        <w:sz w:val="20"/>
                        <w:szCs w:val="20"/>
                      </w:rPr>
                    </m:ctrlPr>
                  </m:dPr>
                  <m:e>
                    <m:f>
                      <m:fPr>
                        <m:ctrlPr>
                          <w:rPr>
                            <w:rFonts w:ascii="Cambria Math" w:eastAsia="Arial Narrow" w:hAnsi="Cambria Math" w:cs="Arial Narrow"/>
                            <w:sz w:val="20"/>
                            <w:szCs w:val="20"/>
                          </w:rPr>
                        </m:ctrlPr>
                      </m:fPr>
                      <m:num>
                        <m:r>
                          <w:rPr>
                            <w:rFonts w:ascii="Cambria Math" w:eastAsia="Arial Narrow" w:hAnsi="Cambria Math" w:cs="Arial Narrow"/>
                            <w:sz w:val="20"/>
                            <w:szCs w:val="20"/>
                          </w:rPr>
                          <m:t>Pacientes</m:t>
                        </m:r>
                        <m:func>
                          <m:funcPr>
                            <m:ctrlPr>
                              <w:rPr>
                                <w:rFonts w:ascii="Cambria Math" w:eastAsia="Arial Narrow" w:hAnsi="Cambria Math" w:cs="Arial Narrow"/>
                                <w:i/>
                                <w:sz w:val="20"/>
                                <w:szCs w:val="20"/>
                              </w:rPr>
                            </m:ctrlPr>
                          </m:funcPr>
                          <m:fName>
                            <m:r>
                              <m:rPr>
                                <m:sty m:val="p"/>
                              </m:rPr>
                              <w:rPr>
                                <w:rFonts w:ascii="Cambria Math" w:eastAsia="Arial Narrow" w:hAnsi="Cambria Math" w:cs="Arial Narrow"/>
                                <w:sz w:val="20"/>
                                <w:szCs w:val="20"/>
                              </w:rPr>
                              <m:t>con</m:t>
                            </m:r>
                          </m:fName>
                          <m:e>
                            <m:r>
                              <w:rPr>
                                <w:rFonts w:ascii="Cambria Math" w:eastAsia="Arial Narrow" w:hAnsi="Cambria Math" w:cs="Arial Narrow"/>
                                <w:sz w:val="20"/>
                                <w:szCs w:val="20"/>
                              </w:rPr>
                              <m:t xml:space="preserve">fuga X Sensibilidad </m:t>
                            </m:r>
                          </m:e>
                        </m:func>
                      </m:num>
                      <m:den>
                        <m:r>
                          <w:rPr>
                            <w:rFonts w:ascii="Cambria Math" w:eastAsia="Arial Narrow" w:hAnsi="Cambria Math" w:cs="Arial Narrow"/>
                            <w:sz w:val="20"/>
                            <w:szCs w:val="20"/>
                          </w:rPr>
                          <m:t>100</m:t>
                        </m:r>
                      </m:den>
                    </m:f>
                  </m:e>
                </m:d>
              </m:oMath>
            </m:oMathPara>
          </w:p>
          <w:p w14:paraId="1AB5DDFC"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The simulation also calculates:</w:t>
            </w:r>
          </w:p>
          <w:p w14:paraId="4E11DDFE" w14:textId="77777777" w:rsidR="006A1612" w:rsidRPr="00FE76C8" w:rsidRDefault="006A1612" w:rsidP="000F3B2B">
            <w:pPr>
              <w:jc w:val="both"/>
              <w:rPr>
                <w:rFonts w:ascii="Arial Narrow" w:eastAsia="Arial Narrow" w:hAnsi="Arial Narrow" w:cs="Arial Narrow"/>
              </w:rPr>
            </w:pPr>
            <m:oMathPara>
              <m:oMath>
                <m:r>
                  <m:rPr>
                    <m:sty m:val="p"/>
                  </m:rPr>
                  <w:rPr>
                    <w:rFonts w:ascii="Cambria Math" w:eastAsia="Arial Narrow" w:hAnsi="Cambria Math" w:cs="Cambria Math"/>
                  </w:rPr>
                  <m:t>FN=</m:t>
                </m:r>
                <m:d>
                  <m:dPr>
                    <m:ctrlPr>
                      <w:rPr>
                        <w:rFonts w:ascii="Cambria Math" w:eastAsia="Arial Narrow" w:hAnsi="Cambria Math" w:cs="Cambria Math"/>
                      </w:rPr>
                    </m:ctrlPr>
                  </m:dPr>
                  <m:e>
                    <m:f>
                      <m:fPr>
                        <m:ctrlPr>
                          <w:rPr>
                            <w:rFonts w:ascii="Cambria Math" w:eastAsia="Arial Narrow" w:hAnsi="Cambria Math" w:cs="Arial Narrow"/>
                          </w:rPr>
                        </m:ctrlPr>
                      </m:fPr>
                      <m:num>
                        <m:r>
                          <w:rPr>
                            <w:rFonts w:ascii="Cambria Math" w:eastAsia="Arial Narrow" w:hAnsi="Cambria Math" w:cs="Cambria Math"/>
                          </w:rPr>
                          <m:t>VN</m:t>
                        </m:r>
                      </m:num>
                      <m:den>
                        <m:r>
                          <w:rPr>
                            <w:rFonts w:ascii="Cambria Math" w:eastAsia="Arial Narrow" w:hAnsi="Cambria Math" w:cs="Cambria Math"/>
                          </w:rPr>
                          <m:t>VPN</m:t>
                        </m:r>
                      </m:den>
                    </m:f>
                  </m:e>
                </m:d>
                <m:r>
                  <w:rPr>
                    <w:rFonts w:ascii="Cambria Math" w:eastAsia="Arial Narrow" w:hAnsi="Cambria Math" w:cs="Cambria Math"/>
                  </w:rPr>
                  <m:t>-VN</m:t>
                </m:r>
              </m:oMath>
            </m:oMathPara>
          </w:p>
          <w:p w14:paraId="1E7E4420" w14:textId="77777777" w:rsidR="006A1612" w:rsidRPr="00FE76C8" w:rsidRDefault="006A1612" w:rsidP="000F3B2B">
            <w:pPr>
              <w:jc w:val="both"/>
              <w:rPr>
                <w:rFonts w:ascii="Arial Narrow" w:eastAsia="Arial Narrow" w:hAnsi="Arial Narrow" w:cs="Arial Narrow"/>
              </w:rPr>
            </w:pPr>
            <m:oMathPara>
              <m:oMath>
                <m:r>
                  <m:rPr>
                    <m:sty m:val="p"/>
                  </m:rPr>
                  <w:rPr>
                    <w:rFonts w:ascii="Cambria Math" w:eastAsia="Arial Narrow" w:hAnsi="Cambria Math" w:cs="Cambria Math"/>
                  </w:rPr>
                  <m:t>FP=</m:t>
                </m:r>
                <m:d>
                  <m:dPr>
                    <m:ctrlPr>
                      <w:rPr>
                        <w:rFonts w:ascii="Cambria Math" w:eastAsia="Arial Narrow" w:hAnsi="Cambria Math" w:cs="Cambria Math"/>
                      </w:rPr>
                    </m:ctrlPr>
                  </m:dPr>
                  <m:e>
                    <m:f>
                      <m:fPr>
                        <m:ctrlPr>
                          <w:rPr>
                            <w:rFonts w:ascii="Cambria Math" w:eastAsia="Arial Narrow" w:hAnsi="Cambria Math" w:cs="Arial Narrow"/>
                          </w:rPr>
                        </m:ctrlPr>
                      </m:fPr>
                      <m:num>
                        <m:r>
                          <w:rPr>
                            <w:rFonts w:ascii="Cambria Math" w:eastAsia="Arial Narrow" w:hAnsi="Cambria Math" w:cs="Cambria Math"/>
                          </w:rPr>
                          <m:t>VP</m:t>
                        </m:r>
                      </m:num>
                      <m:den>
                        <m:r>
                          <w:rPr>
                            <w:rFonts w:ascii="Cambria Math" w:eastAsia="Arial Narrow" w:hAnsi="Cambria Math" w:cs="Cambria Math"/>
                          </w:rPr>
                          <m:t>VPP</m:t>
                        </m:r>
                      </m:den>
                    </m:f>
                  </m:e>
                </m:d>
                <m:r>
                  <w:rPr>
                    <w:rFonts w:ascii="Cambria Math" w:eastAsia="Arial Narrow" w:hAnsi="Cambria Math" w:cs="Cambria Math"/>
                  </w:rPr>
                  <m:t>-VP</m:t>
                </m:r>
              </m:oMath>
            </m:oMathPara>
          </w:p>
        </w:tc>
        <w:tc>
          <w:tcPr>
            <w:tcW w:w="952" w:type="pct"/>
          </w:tcPr>
          <w:p w14:paraId="6D0833D9"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Sensitivity = 91.4%.</w:t>
            </w:r>
          </w:p>
          <w:p w14:paraId="6EB9FCD2"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Specificity =</w:t>
            </w:r>
          </w:p>
          <w:p w14:paraId="70250131"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53,3%</w:t>
            </w:r>
          </w:p>
          <w:p w14:paraId="56ABAD3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PPV= 69.6 %.</w:t>
            </w:r>
          </w:p>
          <w:p w14:paraId="1320C690"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NPV= 84.2%.</w:t>
            </w:r>
          </w:p>
          <w:p w14:paraId="6B6E42E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fldChar w:fldCharType="begin" w:fldLock="1"/>
            </w:r>
            <w:r w:rsidRPr="00FE76C8">
              <w:rPr>
                <w:rFonts w:ascii="Arial Narrow" w:eastAsia="Arial Narrow" w:hAnsi="Arial Narrow" w:cs="Arial Narrow"/>
              </w:rPr>
              <w:instrText>ADDIN CSL_CITATION {"citationItems":[{"id":"ITEM-1","itemData":{"ISSN":"00196061","PMID":"16651672","abstract":"A study was undertaken to analyze the usefulness of radiographic and ultrasonographic findings and area specific hematocrit cut off values in Dengue Hemorrhagic Fever (DHF). Of the 65 cases, 35 were DHF and 30 were Dengue Fever as per the WHO case definition. Among the DHF cases, hemoconcentration (&gt;20%) was detected in 20 cases (57.14%), hypoproteinemia in 11 (31.42%) and clinical evidence of pleural effusion and or ascites in 25 (71.42%). Hemoconcentration based on area specific hematocrit cut off values was observed in 32 cases (91.42%). Ultrasonographic evidence of plasma leakage was seen in 32 cases (91.42%). In detecting plasma leakage, area specific hematocrit cut off values and ultrasonography had the highest sensitivity (91.42%), while ultrasonography had the highest negative predictive value of 84.21%. Clinical evidence of plasma leakage was more frequent than hemoconcentration or hypoproteinuria. Ultrasonography is an ideal non-invasive investigation to detect plasma leakage and area specific hematocrit values are useful as evidence of plasma leakage.","author":[{"dropping-particle":"","family":"Balasubramanian","given":"S.","non-dropping-particle":"","parse-names":false,"suffix":""},{"dropping-particle":"","family":"Janakiraman","given":"Lalitha","non-dropping-particle":"","parse-names":false,"suffix":""},{"dropping-particle":"","family":"Shiv Kumar","given":"S.","non-dropping-particle":"","parse-names":false,"suffix":""},{"dropping-particle":"","family":"Muralinath","given":"S.","non-dropping-particle":"","parse-names":false,"suffix":""},{"dropping-particle":"","family":"Shivbalan","given":"So","non-dropping-particle":"","parse-names":false,"suffix":""}],"container-title":"Indian Pediatrics","id":"ITEM-1","issue":"4","issued":{"date-parts":[["2006"]]},"page":"334-339","title":"A reappraisal of the criteria to diagnose plasma leakage in dengue hemorrhagic fever","type":"article-journal","volume":"43"},"uris":["http://www.mendeley.com/documents/?uuid=c8ba1409-c4ff-4c7a-9d5f-0ede76fd336c"]}],"mendeley":{"formattedCitation":"(Balasubramanian et al. 2006)","plainTextFormattedCitation":"(Balasubramanian et al. 2006)","previouslyFormattedCitation":"(Balasubramanian et al. 2006)"},"properties":{"noteIndex":0},"schema":"https://github.com/citation-style-language/schema/raw/master/csl-citation.json"}</w:instrText>
            </w:r>
            <w:r w:rsidRPr="00FE76C8">
              <w:rPr>
                <w:rFonts w:ascii="Arial Narrow" w:eastAsia="Arial Narrow" w:hAnsi="Arial Narrow" w:cs="Arial Narrow"/>
              </w:rPr>
              <w:fldChar w:fldCharType="separate"/>
            </w:r>
            <w:r w:rsidRPr="00FE76C8">
              <w:rPr>
                <w:rFonts w:ascii="Arial Narrow" w:eastAsia="Arial Narrow" w:hAnsi="Arial Narrow" w:cs="Arial Narrow"/>
                <w:noProof/>
              </w:rPr>
              <w:t>(Balasubramanian et al. 2006)</w:t>
            </w:r>
            <w:r w:rsidRPr="00FE76C8">
              <w:rPr>
                <w:rFonts w:ascii="Arial Narrow" w:eastAsia="Arial Narrow" w:hAnsi="Arial Narrow" w:cs="Arial Narrow"/>
              </w:rPr>
              <w:fldChar w:fldCharType="end"/>
            </w:r>
          </w:p>
          <w:p w14:paraId="0009616D"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These values can be modified by the user.</w:t>
            </w:r>
          </w:p>
          <w:p w14:paraId="02EB4D6C" w14:textId="77777777" w:rsidR="006A1612" w:rsidRPr="00FE76C8" w:rsidRDefault="006A1612" w:rsidP="000F3B2B">
            <w:pPr>
              <w:jc w:val="both"/>
              <w:rPr>
                <w:rFonts w:ascii="Arial Narrow" w:eastAsia="Arial Narrow" w:hAnsi="Arial Narrow" w:cs="Arial Narrow"/>
              </w:rPr>
            </w:pPr>
          </w:p>
          <w:p w14:paraId="1805CBE8"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Based on the scoping review performed by (Dewan et al. 2021) who included primary studies from 1989 to 2018 and the review performed between 2018 and 2021, the data presented in </w:t>
            </w:r>
            <w:r w:rsidRPr="00FE76C8">
              <w:rPr>
                <w:rFonts w:ascii="Arial Narrow" w:hAnsi="Arial Narrow"/>
                <w:i/>
                <w:iCs/>
              </w:rPr>
              <w:t xml:space="preserve">Table 2 were </w:t>
            </w:r>
            <w:r w:rsidRPr="00FE76C8">
              <w:rPr>
                <w:rFonts w:ascii="Arial Narrow" w:eastAsia="Arial Narrow" w:hAnsi="Arial Narrow" w:cs="Arial Narrow"/>
              </w:rPr>
              <w:t>obtained.  Which can serve as a reference for the user</w:t>
            </w:r>
          </w:p>
        </w:tc>
      </w:tr>
      <w:tr w:rsidR="006A1612" w:rsidRPr="00FE76C8" w14:paraId="3678AE9C" w14:textId="77777777" w:rsidTr="000F3B2B">
        <w:tc>
          <w:tcPr>
            <w:tcW w:w="800" w:type="pct"/>
          </w:tcPr>
          <w:p w14:paraId="1E70064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Readmissions/ reconsultations</w:t>
            </w:r>
          </w:p>
        </w:tc>
        <w:tc>
          <w:tcPr>
            <w:tcW w:w="1092" w:type="pct"/>
          </w:tcPr>
          <w:p w14:paraId="4AAD7DF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Defined as readmissions/reconsultations of patients to the emergency department for the same cause.</w:t>
            </w:r>
          </w:p>
          <w:p w14:paraId="7CC63658" w14:textId="77777777" w:rsidR="006A1612" w:rsidRPr="00FE76C8" w:rsidRDefault="006A1612" w:rsidP="000F3B2B">
            <w:pPr>
              <w:jc w:val="both"/>
              <w:rPr>
                <w:rFonts w:ascii="Arial Narrow" w:eastAsia="Arial Narrow" w:hAnsi="Arial Narrow" w:cs="Arial Narrow"/>
              </w:rPr>
            </w:pPr>
            <w:bookmarkStart w:id="2" w:name="_Hlk109999811"/>
            <w:r w:rsidRPr="00FE76C8">
              <w:rPr>
                <w:rFonts w:ascii="Arial Narrow" w:eastAsia="Arial Narrow" w:hAnsi="Arial Narrow" w:cs="Arial Narrow"/>
              </w:rPr>
              <w:t>Although the prospective cohort study did not include information on readmissions, the simulation contemplates the possibility of the user entering this parameter. The reference was taken as the reconsultations to medical control during the follow-up time</w:t>
            </w:r>
            <w:bookmarkEnd w:id="2"/>
            <w:r w:rsidRPr="00FE76C8">
              <w:rPr>
                <w:rFonts w:ascii="Arial Narrow" w:eastAsia="Arial Narrow" w:hAnsi="Arial Narrow" w:cs="Arial Narrow"/>
              </w:rPr>
              <w:t xml:space="preserve"> (on average 3 days).</w:t>
            </w:r>
          </w:p>
        </w:tc>
        <w:tc>
          <w:tcPr>
            <w:tcW w:w="2156" w:type="pct"/>
          </w:tcPr>
          <w:p w14:paraId="5B1FCCBF"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Reconsultation rate</w:t>
            </w:r>
          </w:p>
        </w:tc>
        <w:tc>
          <w:tcPr>
            <w:tcW w:w="952" w:type="pct"/>
          </w:tcPr>
          <w:p w14:paraId="6DFEA21C"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Cohort study information:</w:t>
            </w:r>
          </w:p>
          <w:p w14:paraId="5C9E0D7F"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29% (52/178)</w:t>
            </w:r>
          </w:p>
        </w:tc>
      </w:tr>
      <w:tr w:rsidR="006A1612" w:rsidRPr="00FE76C8" w14:paraId="509983E4" w14:textId="77777777" w:rsidTr="000F3B2B">
        <w:tc>
          <w:tcPr>
            <w:tcW w:w="800" w:type="pct"/>
          </w:tcPr>
          <w:p w14:paraId="4ECF589C"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lastRenderedPageBreak/>
              <w:t>Severity of patient's condition</w:t>
            </w:r>
          </w:p>
        </w:tc>
        <w:tc>
          <w:tcPr>
            <w:tcW w:w="1092" w:type="pct"/>
          </w:tcPr>
          <w:p w14:paraId="03872C85"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It refers to the therapeutic conduct followed with patients confirmed with IgM-positive dengue:</w:t>
            </w:r>
          </w:p>
          <w:p w14:paraId="73C3A79B"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recovered at home,</w:t>
            </w:r>
          </w:p>
          <w:p w14:paraId="3401D57A"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 recovered after hospitalization, </w:t>
            </w:r>
          </w:p>
          <w:p w14:paraId="45678003" w14:textId="77777777" w:rsidR="006A1612" w:rsidRPr="00FE76C8" w:rsidRDefault="006A1612" w:rsidP="000F3B2B">
            <w:pPr>
              <w:rPr>
                <w:rFonts w:ascii="Arial Narrow" w:eastAsia="Arial Narrow" w:hAnsi="Arial Narrow" w:cs="Arial Narrow"/>
              </w:rPr>
            </w:pPr>
            <w:r w:rsidRPr="00FE76C8">
              <w:rPr>
                <w:rFonts w:ascii="Arial Narrow" w:eastAsia="Arial Narrow" w:hAnsi="Arial Narrow" w:cs="Arial Narrow"/>
              </w:rPr>
              <w:t xml:space="preserve">- immediately referred to another hospital of a higher level of complexity, </w:t>
            </w:r>
          </w:p>
          <w:p w14:paraId="2EA6D300"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recovered in another hospital</w:t>
            </w:r>
          </w:p>
        </w:tc>
        <w:tc>
          <w:tcPr>
            <w:tcW w:w="2156" w:type="pct"/>
          </w:tcPr>
          <w:p w14:paraId="50F96DA8"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Represented by means of the corresponding rates and flows taken from the cohort study. </w:t>
            </w:r>
          </w:p>
        </w:tc>
        <w:tc>
          <w:tcPr>
            <w:tcW w:w="952" w:type="pct"/>
          </w:tcPr>
          <w:p w14:paraId="0BF0AAE3"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0</w:t>
            </w:r>
          </w:p>
          <w:p w14:paraId="2AD88CAD" w14:textId="77777777" w:rsidR="006A1612" w:rsidRPr="00FE76C8" w:rsidRDefault="006A1612" w:rsidP="000F3B2B">
            <w:pPr>
              <w:jc w:val="both"/>
              <w:rPr>
                <w:rFonts w:ascii="Arial Narrow" w:eastAsia="Arial Narrow" w:hAnsi="Arial Narrow" w:cs="Arial Narrow"/>
              </w:rPr>
            </w:pPr>
          </w:p>
        </w:tc>
      </w:tr>
      <w:tr w:rsidR="006A1612" w:rsidRPr="00FE76C8" w14:paraId="01F9A635" w14:textId="77777777" w:rsidTr="000F3B2B">
        <w:tc>
          <w:tcPr>
            <w:tcW w:w="800" w:type="pct"/>
          </w:tcPr>
          <w:p w14:paraId="2C65A0C4"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Costs</w:t>
            </w:r>
          </w:p>
        </w:tc>
        <w:tc>
          <w:tcPr>
            <w:tcW w:w="1092" w:type="pct"/>
          </w:tcPr>
          <w:p w14:paraId="51D537FF"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Established as fixed costs: purchase value of biomedical equipment for training and use in the emergency department, associated annual maintenance and training courses.</w:t>
            </w:r>
          </w:p>
          <w:p w14:paraId="7BD225B3"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Variable costs: costs of supplies needed for ultrasound, cost of retraining and income from the provision of ultrasound procedures.</w:t>
            </w:r>
          </w:p>
        </w:tc>
        <w:tc>
          <w:tcPr>
            <w:tcW w:w="2156" w:type="pct"/>
          </w:tcPr>
          <w:p w14:paraId="47FD2BBA"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Reference values of the Colombian market.</w:t>
            </w:r>
          </w:p>
          <w:p w14:paraId="56836765" w14:textId="77777777" w:rsidR="006A1612" w:rsidRPr="00FE76C8" w:rsidRDefault="006A1612" w:rsidP="000F3B2B">
            <w:pPr>
              <w:jc w:val="both"/>
              <w:rPr>
                <w:rFonts w:ascii="Arial Narrow" w:eastAsia="Arial Narrow" w:hAnsi="Arial Narrow" w:cs="Arial Narrow"/>
              </w:rPr>
            </w:pPr>
          </w:p>
          <w:p w14:paraId="0A226BF4"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Values established in the Tariff Manual established under decree 2423 of December 31, 1996, updated to 2021.</w:t>
            </w:r>
          </w:p>
        </w:tc>
        <w:tc>
          <w:tcPr>
            <w:tcW w:w="952" w:type="pct"/>
          </w:tcPr>
          <w:p w14:paraId="65943672"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Values updated to the current legal minimum wage 2021 of Colombia.</w:t>
            </w:r>
          </w:p>
        </w:tc>
      </w:tr>
      <w:tr w:rsidR="006A1612" w:rsidRPr="00FE76C8" w14:paraId="5D3DC546" w14:textId="77777777" w:rsidTr="000F3B2B">
        <w:tc>
          <w:tcPr>
            <w:tcW w:w="800" w:type="pct"/>
          </w:tcPr>
          <w:p w14:paraId="6169FD38"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Labor</w:t>
            </w:r>
          </w:p>
        </w:tc>
        <w:tc>
          <w:tcPr>
            <w:tcW w:w="1092" w:type="pct"/>
          </w:tcPr>
          <w:p w14:paraId="3A242F81"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Refers to the number of emergency department physicians to be trained.</w:t>
            </w:r>
          </w:p>
        </w:tc>
        <w:tc>
          <w:tcPr>
            <w:tcW w:w="2156" w:type="pct"/>
          </w:tcPr>
          <w:p w14:paraId="193F306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Number of emergency department physicians to be trained.</w:t>
            </w:r>
          </w:p>
        </w:tc>
        <w:tc>
          <w:tcPr>
            <w:tcW w:w="952" w:type="pct"/>
          </w:tcPr>
          <w:p w14:paraId="283065F0"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3</w:t>
            </w:r>
          </w:p>
          <w:p w14:paraId="63C37A75"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Considering that this is a 24-hour service, this value can be modified by the user.</w:t>
            </w:r>
          </w:p>
        </w:tc>
      </w:tr>
      <w:tr w:rsidR="006A1612" w:rsidRPr="00FE76C8" w14:paraId="44B65E51" w14:textId="77777777" w:rsidTr="000F3B2B">
        <w:tc>
          <w:tcPr>
            <w:tcW w:w="800" w:type="pct"/>
          </w:tcPr>
          <w:p w14:paraId="25C6086A"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Time of attention</w:t>
            </w:r>
          </w:p>
        </w:tc>
        <w:tc>
          <w:tcPr>
            <w:tcW w:w="1092" w:type="pct"/>
          </w:tcPr>
          <w:p w14:paraId="393D9942"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Calculated as the reference time for performing POCUS- Dengue, FAST and gynecological emergency ultrasounds</w:t>
            </w:r>
          </w:p>
        </w:tc>
        <w:tc>
          <w:tcPr>
            <w:tcW w:w="2156" w:type="pct"/>
          </w:tcPr>
          <w:p w14:paraId="0B2D4F2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Probability distribution according to the behavior of the cohort study times and reference values.</w:t>
            </w:r>
          </w:p>
          <w:p w14:paraId="644213EF" w14:textId="77777777" w:rsidR="006A1612" w:rsidRPr="00FE76C8" w:rsidRDefault="006A1612" w:rsidP="000F3B2B">
            <w:pPr>
              <w:jc w:val="both"/>
              <w:rPr>
                <w:rFonts w:ascii="Arial Narrow" w:eastAsia="Arial Narrow" w:hAnsi="Arial Narrow" w:cs="Arial Narrow"/>
              </w:rPr>
            </w:pPr>
          </w:p>
        </w:tc>
        <w:tc>
          <w:tcPr>
            <w:tcW w:w="952" w:type="pct"/>
          </w:tcPr>
          <w:p w14:paraId="56039B54" w14:textId="77777777" w:rsidR="006A1612" w:rsidRPr="00FE76C8" w:rsidRDefault="006A1612" w:rsidP="000F3B2B">
            <w:pPr>
              <w:jc w:val="both"/>
              <w:rPr>
                <w:rFonts w:ascii="Arial Narrow" w:eastAsia="Arial Narrow" w:hAnsi="Arial Narrow" w:cs="Arial Narrow"/>
              </w:rPr>
            </w:pPr>
            <w:bookmarkStart w:id="3" w:name="_Hlk153753292"/>
            <w:r w:rsidRPr="00FE76C8">
              <w:rPr>
                <w:rFonts w:ascii="Arial Narrow" w:eastAsia="Arial Narrow" w:hAnsi="Arial Narrow" w:cs="Arial Narrow"/>
              </w:rPr>
              <w:t>POCUS-Dengue Test Time: Normal Distribution (24 min; 3.7 min)</w:t>
            </w:r>
          </w:p>
          <w:p w14:paraId="636AC7BF"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FAST test time:</w:t>
            </w:r>
          </w:p>
          <w:p w14:paraId="127DC940"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UNIFORM Random distribution (10 min -15, min)</w:t>
            </w:r>
          </w:p>
          <w:p w14:paraId="7E9E4E13"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Examination time Gynecological emergencies:</w:t>
            </w:r>
          </w:p>
          <w:p w14:paraId="1A262717"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lastRenderedPageBreak/>
              <w:t>UNIFORM Random distribution (20 min -25, min)</w:t>
            </w:r>
            <w:bookmarkEnd w:id="3"/>
          </w:p>
        </w:tc>
      </w:tr>
      <w:tr w:rsidR="006A1612" w:rsidRPr="00FE76C8" w14:paraId="7F45E5FD" w14:textId="77777777" w:rsidTr="000F3B2B">
        <w:tc>
          <w:tcPr>
            <w:tcW w:w="800" w:type="pct"/>
          </w:tcPr>
          <w:p w14:paraId="234D35C6"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lastRenderedPageBreak/>
              <w:t>Patient demand for gynecological emergencies</w:t>
            </w:r>
          </w:p>
        </w:tc>
        <w:tc>
          <w:tcPr>
            <w:tcW w:w="1092" w:type="pct"/>
          </w:tcPr>
          <w:p w14:paraId="6414B96E"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Demand of patients admitted to the emergency department with diagnoses associated with abdominal trauma. </w:t>
            </w:r>
          </w:p>
        </w:tc>
        <w:tc>
          <w:tcPr>
            <w:tcW w:w="2156" w:type="pct"/>
            <w:vMerge w:val="restart"/>
          </w:tcPr>
          <w:p w14:paraId="0A1A9C43"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Poisson distribution of the case study data, in units of simulation time, days. </w:t>
            </w:r>
          </w:p>
          <w:p w14:paraId="39E96E03" w14:textId="77777777" w:rsidR="006A1612" w:rsidRPr="00FE76C8" w:rsidRDefault="006A1612" w:rsidP="000F3B2B">
            <w:pPr>
              <w:jc w:val="both"/>
              <w:rPr>
                <w:rFonts w:ascii="Arial Narrow" w:eastAsia="Arial Narrow" w:hAnsi="Arial Narrow" w:cs="Arial Narrow"/>
              </w:rPr>
            </w:pPr>
          </w:p>
          <w:p w14:paraId="4B2E415B"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The function used in STELLA generates a series of random numbers that conform to a Poisson distribution.</w:t>
            </w:r>
          </w:p>
        </w:tc>
        <w:tc>
          <w:tcPr>
            <w:tcW w:w="952" w:type="pct"/>
            <w:vMerge w:val="restart"/>
          </w:tcPr>
          <w:p w14:paraId="488E18D9"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Data corresponding to the case study during the months of April 2019 and March 2020. </w:t>
            </w:r>
          </w:p>
          <w:p w14:paraId="0E5C200A"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Table 4.</w:t>
            </w:r>
          </w:p>
        </w:tc>
      </w:tr>
      <w:tr w:rsidR="006A1612" w:rsidRPr="00FE76C8" w14:paraId="55BAD26C" w14:textId="77777777" w:rsidTr="000F3B2B">
        <w:tc>
          <w:tcPr>
            <w:tcW w:w="800" w:type="pct"/>
          </w:tcPr>
          <w:p w14:paraId="37950A41"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Emergency trauma patient demand (FAST)</w:t>
            </w:r>
          </w:p>
        </w:tc>
        <w:tc>
          <w:tcPr>
            <w:tcW w:w="1092" w:type="pct"/>
          </w:tcPr>
          <w:p w14:paraId="6BB7364E" w14:textId="77777777" w:rsidR="006A1612" w:rsidRPr="00FE76C8" w:rsidRDefault="006A1612" w:rsidP="000F3B2B">
            <w:pPr>
              <w:jc w:val="both"/>
              <w:rPr>
                <w:rFonts w:ascii="Arial Narrow" w:eastAsia="Arial Narrow" w:hAnsi="Arial Narrow" w:cs="Arial Narrow"/>
              </w:rPr>
            </w:pPr>
            <w:r w:rsidRPr="00FE76C8">
              <w:rPr>
                <w:rFonts w:ascii="Arial Narrow" w:eastAsia="Arial Narrow" w:hAnsi="Arial Narrow" w:cs="Arial Narrow"/>
              </w:rPr>
              <w:t xml:space="preserve">Demand of patients admitted to the emergency department with a diagnosis associated with gynecological emergencies.  </w:t>
            </w:r>
          </w:p>
        </w:tc>
        <w:tc>
          <w:tcPr>
            <w:tcW w:w="2156" w:type="pct"/>
            <w:vMerge/>
          </w:tcPr>
          <w:p w14:paraId="6EAB2E3E" w14:textId="77777777" w:rsidR="006A1612" w:rsidRPr="00FE76C8" w:rsidRDefault="006A1612" w:rsidP="000F3B2B">
            <w:pPr>
              <w:jc w:val="both"/>
              <w:rPr>
                <w:rFonts w:ascii="Arial Narrow" w:eastAsia="Arial Narrow" w:hAnsi="Arial Narrow" w:cs="Arial Narrow"/>
              </w:rPr>
            </w:pPr>
          </w:p>
        </w:tc>
        <w:tc>
          <w:tcPr>
            <w:tcW w:w="952" w:type="pct"/>
            <w:vMerge/>
          </w:tcPr>
          <w:p w14:paraId="3819ED8B" w14:textId="77777777" w:rsidR="006A1612" w:rsidRPr="00FE76C8" w:rsidRDefault="006A1612" w:rsidP="000F3B2B">
            <w:pPr>
              <w:jc w:val="both"/>
              <w:rPr>
                <w:rFonts w:ascii="Arial Narrow" w:eastAsia="Arial Narrow" w:hAnsi="Arial Narrow" w:cs="Arial Narrow"/>
              </w:rPr>
            </w:pPr>
          </w:p>
        </w:tc>
      </w:tr>
    </w:tbl>
    <w:p w14:paraId="7B276CC5" w14:textId="77777777" w:rsidR="006A1612" w:rsidRPr="00FE76C8" w:rsidRDefault="006A1612" w:rsidP="006A1612">
      <w:pPr>
        <w:jc w:val="center"/>
        <w:rPr>
          <w:rFonts w:ascii="Arial Narrow" w:eastAsia="Arial Narrow" w:hAnsi="Arial Narrow" w:cs="Arial Narrow"/>
        </w:rPr>
      </w:pPr>
      <w:r w:rsidRPr="00FE76C8">
        <w:rPr>
          <w:rFonts w:ascii="Arial Narrow" w:eastAsia="Arial Narrow" w:hAnsi="Arial Narrow" w:cs="Arial Narrow"/>
        </w:rPr>
        <w:t>Source: Own elaboration</w:t>
      </w:r>
    </w:p>
    <w:p w14:paraId="3284C537" w14:textId="77777777" w:rsidR="006A1612" w:rsidRPr="00FE76C8" w:rsidRDefault="006A1612" w:rsidP="006A1612"/>
    <w:p w14:paraId="2A8EAE5E" w14:textId="77777777" w:rsidR="006A1612" w:rsidRDefault="006A1612" w:rsidP="006A1612">
      <w:pPr>
        <w:pStyle w:val="Descripcin"/>
        <w:jc w:val="center"/>
        <w:rPr>
          <w:rFonts w:ascii="Arial Narrow" w:hAnsi="Arial Narrow"/>
          <w:i w:val="0"/>
          <w:iCs w:val="0"/>
          <w:color w:val="auto"/>
          <w:sz w:val="22"/>
          <w:szCs w:val="22"/>
        </w:rPr>
      </w:pPr>
      <w:bookmarkStart w:id="4" w:name="_Ref108723123"/>
      <w:bookmarkStart w:id="5" w:name="_Toc153812328"/>
      <w:r>
        <w:rPr>
          <w:rFonts w:ascii="Arial Narrow" w:hAnsi="Arial Narrow"/>
          <w:i w:val="0"/>
          <w:iCs w:val="0"/>
          <w:color w:val="auto"/>
          <w:sz w:val="22"/>
          <w:szCs w:val="22"/>
        </w:rPr>
        <w:br w:type="page"/>
      </w:r>
    </w:p>
    <w:p w14:paraId="3EC40864" w14:textId="77777777" w:rsidR="006A1612" w:rsidRPr="00FE76C8" w:rsidRDefault="006A1612" w:rsidP="006A1612">
      <w:pPr>
        <w:pStyle w:val="Descripcin"/>
        <w:jc w:val="center"/>
        <w:rPr>
          <w:rFonts w:ascii="Arial Narrow" w:hAnsi="Arial Narrow"/>
          <w:i w:val="0"/>
          <w:iCs w:val="0"/>
          <w:color w:val="auto"/>
          <w:sz w:val="22"/>
          <w:szCs w:val="22"/>
        </w:rPr>
      </w:pPr>
      <w:r w:rsidRPr="00FE76C8">
        <w:rPr>
          <w:rFonts w:ascii="Arial Narrow" w:hAnsi="Arial Narrow"/>
          <w:i w:val="0"/>
          <w:iCs w:val="0"/>
          <w:color w:val="auto"/>
          <w:sz w:val="22"/>
          <w:szCs w:val="22"/>
        </w:rPr>
        <w:lastRenderedPageBreak/>
        <w:t xml:space="preserve">Table </w:t>
      </w:r>
      <w:bookmarkEnd w:id="4"/>
      <w:r w:rsidRPr="00FE76C8">
        <w:rPr>
          <w:rFonts w:ascii="Arial Narrow" w:hAnsi="Arial Narrow"/>
          <w:i w:val="0"/>
          <w:iCs w:val="0"/>
          <w:color w:val="auto"/>
          <w:sz w:val="22"/>
          <w:szCs w:val="22"/>
        </w:rPr>
        <w:t>4. Demand for patients with suspected Dengue, trauma and gynecological emergencies.</w:t>
      </w:r>
      <w:bookmarkEnd w:id="5"/>
      <w:r w:rsidRPr="00FE76C8">
        <w:rPr>
          <w:rFonts w:ascii="Arial Narrow" w:hAnsi="Arial Narrow"/>
          <w:i w:val="0"/>
          <w:iCs w:val="0"/>
          <w:color w:val="auto"/>
          <w:sz w:val="22"/>
          <w:szCs w:val="22"/>
        </w:rPr>
        <w:t xml:space="preserve">  </w:t>
      </w:r>
    </w:p>
    <w:tbl>
      <w:tblPr>
        <w:tblStyle w:val="Tablaconcuadrcula"/>
        <w:tblW w:w="0" w:type="auto"/>
        <w:jc w:val="center"/>
        <w:tblLook w:val="04A0" w:firstRow="1" w:lastRow="0" w:firstColumn="1" w:lastColumn="0" w:noHBand="0" w:noVBand="1"/>
      </w:tblPr>
      <w:tblGrid>
        <w:gridCol w:w="1752"/>
        <w:gridCol w:w="2020"/>
        <w:gridCol w:w="1954"/>
        <w:gridCol w:w="1551"/>
        <w:gridCol w:w="1551"/>
      </w:tblGrid>
      <w:tr w:rsidR="006A1612" w:rsidRPr="00FE76C8" w14:paraId="3A7EBF18" w14:textId="77777777" w:rsidTr="000F3B2B">
        <w:trPr>
          <w:trHeight w:val="1521"/>
          <w:jc w:val="center"/>
        </w:trPr>
        <w:tc>
          <w:tcPr>
            <w:tcW w:w="1752" w:type="dxa"/>
          </w:tcPr>
          <w:p w14:paraId="0182BFAB" w14:textId="77777777" w:rsidR="006A1612" w:rsidRPr="006401AE" w:rsidRDefault="006A1612" w:rsidP="000F3B2B">
            <w:pPr>
              <w:jc w:val="center"/>
              <w:rPr>
                <w:rFonts w:ascii="Arial Narrow" w:hAnsi="Arial Narrow"/>
                <w:b/>
                <w:bCs/>
              </w:rPr>
            </w:pPr>
            <w:r w:rsidRPr="006401AE">
              <w:rPr>
                <w:rFonts w:ascii="Arial Narrow" w:hAnsi="Arial Narrow"/>
                <w:b/>
                <w:bCs/>
              </w:rPr>
              <w:t>Year</w:t>
            </w:r>
          </w:p>
        </w:tc>
        <w:tc>
          <w:tcPr>
            <w:tcW w:w="2020" w:type="dxa"/>
          </w:tcPr>
          <w:p w14:paraId="0FFFC6B6" w14:textId="77777777" w:rsidR="006A1612" w:rsidRPr="006401AE" w:rsidRDefault="006A1612" w:rsidP="000F3B2B">
            <w:pPr>
              <w:jc w:val="center"/>
              <w:rPr>
                <w:rFonts w:ascii="Arial Narrow" w:hAnsi="Arial Narrow"/>
                <w:b/>
                <w:bCs/>
              </w:rPr>
            </w:pPr>
            <w:r w:rsidRPr="006401AE">
              <w:rPr>
                <w:rFonts w:ascii="Arial Narrow" w:hAnsi="Arial Narrow"/>
                <w:b/>
                <w:bCs/>
              </w:rPr>
              <w:t>Month</w:t>
            </w:r>
          </w:p>
        </w:tc>
        <w:tc>
          <w:tcPr>
            <w:tcW w:w="1954" w:type="dxa"/>
          </w:tcPr>
          <w:p w14:paraId="6276E173" w14:textId="77777777" w:rsidR="006A1612" w:rsidRPr="006401AE" w:rsidRDefault="006A1612" w:rsidP="000F3B2B">
            <w:pPr>
              <w:jc w:val="center"/>
              <w:rPr>
                <w:rFonts w:ascii="Arial Narrow" w:hAnsi="Arial Narrow"/>
                <w:b/>
                <w:bCs/>
              </w:rPr>
            </w:pPr>
            <w:r w:rsidRPr="006401AE">
              <w:rPr>
                <w:rFonts w:ascii="Arial Narrow" w:hAnsi="Arial Narrow"/>
                <w:b/>
                <w:bCs/>
              </w:rPr>
              <w:t>Number of patients suspected of having dengue fever</w:t>
            </w:r>
          </w:p>
        </w:tc>
        <w:tc>
          <w:tcPr>
            <w:tcW w:w="1551" w:type="dxa"/>
          </w:tcPr>
          <w:p w14:paraId="05B3DA00" w14:textId="77777777" w:rsidR="006A1612" w:rsidRPr="006401AE" w:rsidRDefault="006A1612" w:rsidP="000F3B2B">
            <w:pPr>
              <w:jc w:val="center"/>
              <w:rPr>
                <w:rFonts w:ascii="Arial Narrow" w:hAnsi="Arial Narrow"/>
                <w:b/>
                <w:bCs/>
              </w:rPr>
            </w:pPr>
            <w:r w:rsidRPr="006401AE">
              <w:rPr>
                <w:rFonts w:ascii="Arial Narrow" w:hAnsi="Arial Narrow"/>
                <w:b/>
                <w:bCs/>
              </w:rPr>
              <w:t>Number of patients with diagnosis associated with trauma</w:t>
            </w:r>
          </w:p>
        </w:tc>
        <w:tc>
          <w:tcPr>
            <w:tcW w:w="1551" w:type="dxa"/>
          </w:tcPr>
          <w:p w14:paraId="5FBEEC5E" w14:textId="77777777" w:rsidR="006A1612" w:rsidRPr="006401AE" w:rsidRDefault="006A1612" w:rsidP="000F3B2B">
            <w:pPr>
              <w:jc w:val="center"/>
              <w:rPr>
                <w:rFonts w:ascii="Arial Narrow" w:hAnsi="Arial Narrow"/>
                <w:b/>
                <w:bCs/>
              </w:rPr>
            </w:pPr>
            <w:r w:rsidRPr="006401AE">
              <w:rPr>
                <w:rFonts w:ascii="Arial Narrow" w:hAnsi="Arial Narrow"/>
                <w:b/>
                <w:bCs/>
              </w:rPr>
              <w:t>Number of patients with a diagnosis associated with gynecological emergencies</w:t>
            </w:r>
          </w:p>
        </w:tc>
      </w:tr>
      <w:tr w:rsidR="006A1612" w:rsidRPr="00FE76C8" w14:paraId="5E0BCB56" w14:textId="77777777" w:rsidTr="000F3B2B">
        <w:trPr>
          <w:jc w:val="center"/>
        </w:trPr>
        <w:tc>
          <w:tcPr>
            <w:tcW w:w="1752" w:type="dxa"/>
            <w:vMerge w:val="restart"/>
          </w:tcPr>
          <w:p w14:paraId="2B75D99B" w14:textId="77777777" w:rsidR="006A1612" w:rsidRPr="00FE76C8" w:rsidRDefault="006A1612" w:rsidP="000F3B2B">
            <w:pPr>
              <w:jc w:val="center"/>
              <w:rPr>
                <w:rFonts w:ascii="Arial Narrow" w:hAnsi="Arial Narrow"/>
              </w:rPr>
            </w:pPr>
            <w:r w:rsidRPr="00FE76C8">
              <w:rPr>
                <w:rFonts w:ascii="Arial Narrow" w:hAnsi="Arial Narrow"/>
              </w:rPr>
              <w:t>2019</w:t>
            </w:r>
          </w:p>
        </w:tc>
        <w:tc>
          <w:tcPr>
            <w:tcW w:w="2020" w:type="dxa"/>
          </w:tcPr>
          <w:p w14:paraId="6329D9A3" w14:textId="77777777" w:rsidR="006A1612" w:rsidRPr="00FE76C8" w:rsidRDefault="006A1612" w:rsidP="000F3B2B">
            <w:pPr>
              <w:jc w:val="center"/>
              <w:rPr>
                <w:rFonts w:ascii="Arial Narrow" w:hAnsi="Arial Narrow"/>
              </w:rPr>
            </w:pPr>
            <w:r w:rsidRPr="00FE76C8">
              <w:rPr>
                <w:rFonts w:ascii="Arial Narrow" w:hAnsi="Arial Narrow"/>
              </w:rPr>
              <w:t>April</w:t>
            </w:r>
          </w:p>
        </w:tc>
        <w:tc>
          <w:tcPr>
            <w:tcW w:w="1954" w:type="dxa"/>
          </w:tcPr>
          <w:p w14:paraId="578F233F" w14:textId="77777777" w:rsidR="006A1612" w:rsidRPr="00FE76C8" w:rsidRDefault="006A1612" w:rsidP="000F3B2B">
            <w:pPr>
              <w:jc w:val="center"/>
              <w:rPr>
                <w:rFonts w:ascii="Arial Narrow" w:hAnsi="Arial Narrow"/>
              </w:rPr>
            </w:pPr>
            <w:r w:rsidRPr="00FE76C8">
              <w:rPr>
                <w:rFonts w:ascii="Arial Narrow" w:hAnsi="Arial Narrow"/>
              </w:rPr>
              <w:t>1</w:t>
            </w:r>
          </w:p>
        </w:tc>
        <w:tc>
          <w:tcPr>
            <w:tcW w:w="1551" w:type="dxa"/>
          </w:tcPr>
          <w:p w14:paraId="29480A58" w14:textId="77777777" w:rsidR="006A1612" w:rsidRPr="00FE76C8" w:rsidRDefault="006A1612" w:rsidP="000F3B2B">
            <w:pPr>
              <w:jc w:val="center"/>
              <w:rPr>
                <w:rFonts w:ascii="Arial Narrow" w:hAnsi="Arial Narrow"/>
              </w:rPr>
            </w:pPr>
            <w:r w:rsidRPr="00FE76C8">
              <w:rPr>
                <w:rFonts w:ascii="Arial Narrow" w:hAnsi="Arial Narrow"/>
              </w:rPr>
              <w:t>101</w:t>
            </w:r>
          </w:p>
        </w:tc>
        <w:tc>
          <w:tcPr>
            <w:tcW w:w="1551" w:type="dxa"/>
          </w:tcPr>
          <w:p w14:paraId="4BC19F5F" w14:textId="77777777" w:rsidR="006A1612" w:rsidRPr="00FE76C8" w:rsidRDefault="006A1612" w:rsidP="000F3B2B">
            <w:pPr>
              <w:jc w:val="center"/>
              <w:rPr>
                <w:rFonts w:ascii="Arial Narrow" w:hAnsi="Arial Narrow"/>
              </w:rPr>
            </w:pPr>
            <w:r w:rsidRPr="00FE76C8">
              <w:rPr>
                <w:rFonts w:ascii="Arial Narrow" w:hAnsi="Arial Narrow"/>
              </w:rPr>
              <w:t>20</w:t>
            </w:r>
          </w:p>
        </w:tc>
      </w:tr>
      <w:tr w:rsidR="006A1612" w:rsidRPr="00FE76C8" w14:paraId="372E0527" w14:textId="77777777" w:rsidTr="000F3B2B">
        <w:trPr>
          <w:jc w:val="center"/>
        </w:trPr>
        <w:tc>
          <w:tcPr>
            <w:tcW w:w="1752" w:type="dxa"/>
            <w:vMerge/>
          </w:tcPr>
          <w:p w14:paraId="05849B8E" w14:textId="77777777" w:rsidR="006A1612" w:rsidRPr="00FE76C8" w:rsidRDefault="006A1612" w:rsidP="000F3B2B">
            <w:pPr>
              <w:jc w:val="center"/>
              <w:rPr>
                <w:rFonts w:ascii="Arial Narrow" w:hAnsi="Arial Narrow"/>
              </w:rPr>
            </w:pPr>
          </w:p>
        </w:tc>
        <w:tc>
          <w:tcPr>
            <w:tcW w:w="2020" w:type="dxa"/>
          </w:tcPr>
          <w:p w14:paraId="4B504CFC" w14:textId="77777777" w:rsidR="006A1612" w:rsidRPr="00FE76C8" w:rsidRDefault="006A1612" w:rsidP="000F3B2B">
            <w:pPr>
              <w:jc w:val="center"/>
              <w:rPr>
                <w:rFonts w:ascii="Arial Narrow" w:hAnsi="Arial Narrow"/>
              </w:rPr>
            </w:pPr>
            <w:r w:rsidRPr="00FE76C8">
              <w:rPr>
                <w:rFonts w:ascii="Arial Narrow" w:hAnsi="Arial Narrow"/>
              </w:rPr>
              <w:t>May</w:t>
            </w:r>
          </w:p>
        </w:tc>
        <w:tc>
          <w:tcPr>
            <w:tcW w:w="1954" w:type="dxa"/>
          </w:tcPr>
          <w:p w14:paraId="62A63470" w14:textId="77777777" w:rsidR="006A1612" w:rsidRPr="00FE76C8" w:rsidRDefault="006A1612" w:rsidP="000F3B2B">
            <w:pPr>
              <w:jc w:val="center"/>
              <w:rPr>
                <w:rFonts w:ascii="Arial Narrow" w:hAnsi="Arial Narrow"/>
              </w:rPr>
            </w:pPr>
            <w:r w:rsidRPr="00FE76C8">
              <w:rPr>
                <w:rFonts w:ascii="Arial Narrow" w:hAnsi="Arial Narrow"/>
              </w:rPr>
              <w:t>7</w:t>
            </w:r>
          </w:p>
        </w:tc>
        <w:tc>
          <w:tcPr>
            <w:tcW w:w="1551" w:type="dxa"/>
          </w:tcPr>
          <w:p w14:paraId="1D36A52D" w14:textId="77777777" w:rsidR="006A1612" w:rsidRPr="00FE76C8" w:rsidRDefault="006A1612" w:rsidP="000F3B2B">
            <w:pPr>
              <w:jc w:val="center"/>
              <w:rPr>
                <w:rFonts w:ascii="Arial Narrow" w:hAnsi="Arial Narrow"/>
              </w:rPr>
            </w:pPr>
            <w:r w:rsidRPr="00FE76C8">
              <w:rPr>
                <w:rFonts w:ascii="Arial Narrow" w:hAnsi="Arial Narrow"/>
              </w:rPr>
              <w:t>75</w:t>
            </w:r>
          </w:p>
        </w:tc>
        <w:tc>
          <w:tcPr>
            <w:tcW w:w="1551" w:type="dxa"/>
          </w:tcPr>
          <w:p w14:paraId="546B65D2" w14:textId="77777777" w:rsidR="006A1612" w:rsidRPr="00FE76C8" w:rsidRDefault="006A1612" w:rsidP="000F3B2B">
            <w:pPr>
              <w:jc w:val="center"/>
              <w:rPr>
                <w:rFonts w:ascii="Arial Narrow" w:hAnsi="Arial Narrow"/>
              </w:rPr>
            </w:pPr>
            <w:r w:rsidRPr="00FE76C8">
              <w:rPr>
                <w:rFonts w:ascii="Arial Narrow" w:hAnsi="Arial Narrow"/>
              </w:rPr>
              <w:t>15</w:t>
            </w:r>
          </w:p>
        </w:tc>
      </w:tr>
      <w:tr w:rsidR="006A1612" w:rsidRPr="00FE76C8" w14:paraId="59316AB6" w14:textId="77777777" w:rsidTr="000F3B2B">
        <w:trPr>
          <w:jc w:val="center"/>
        </w:trPr>
        <w:tc>
          <w:tcPr>
            <w:tcW w:w="1752" w:type="dxa"/>
            <w:vMerge/>
          </w:tcPr>
          <w:p w14:paraId="7B88772A" w14:textId="77777777" w:rsidR="006A1612" w:rsidRPr="00FE76C8" w:rsidRDefault="006A1612" w:rsidP="000F3B2B">
            <w:pPr>
              <w:jc w:val="center"/>
              <w:rPr>
                <w:rFonts w:ascii="Arial Narrow" w:hAnsi="Arial Narrow"/>
              </w:rPr>
            </w:pPr>
          </w:p>
        </w:tc>
        <w:tc>
          <w:tcPr>
            <w:tcW w:w="2020" w:type="dxa"/>
          </w:tcPr>
          <w:p w14:paraId="3D5089D5" w14:textId="77777777" w:rsidR="006A1612" w:rsidRPr="00FE76C8" w:rsidRDefault="006A1612" w:rsidP="000F3B2B">
            <w:pPr>
              <w:jc w:val="center"/>
              <w:rPr>
                <w:rFonts w:ascii="Arial Narrow" w:hAnsi="Arial Narrow"/>
              </w:rPr>
            </w:pPr>
            <w:r w:rsidRPr="00FE76C8">
              <w:rPr>
                <w:rFonts w:ascii="Arial Narrow" w:hAnsi="Arial Narrow"/>
              </w:rPr>
              <w:t>June</w:t>
            </w:r>
          </w:p>
        </w:tc>
        <w:tc>
          <w:tcPr>
            <w:tcW w:w="1954" w:type="dxa"/>
          </w:tcPr>
          <w:p w14:paraId="55C488B8" w14:textId="77777777" w:rsidR="006A1612" w:rsidRPr="00FE76C8" w:rsidRDefault="006A1612" w:rsidP="000F3B2B">
            <w:pPr>
              <w:jc w:val="center"/>
              <w:rPr>
                <w:rFonts w:ascii="Arial Narrow" w:hAnsi="Arial Narrow"/>
              </w:rPr>
            </w:pPr>
            <w:r w:rsidRPr="00FE76C8">
              <w:rPr>
                <w:rFonts w:ascii="Arial Narrow" w:hAnsi="Arial Narrow"/>
              </w:rPr>
              <w:t>10</w:t>
            </w:r>
          </w:p>
        </w:tc>
        <w:tc>
          <w:tcPr>
            <w:tcW w:w="1551" w:type="dxa"/>
          </w:tcPr>
          <w:p w14:paraId="6FBDDA99" w14:textId="77777777" w:rsidR="006A1612" w:rsidRPr="00FE76C8" w:rsidRDefault="006A1612" w:rsidP="000F3B2B">
            <w:pPr>
              <w:jc w:val="center"/>
              <w:rPr>
                <w:rFonts w:ascii="Arial Narrow" w:hAnsi="Arial Narrow"/>
              </w:rPr>
            </w:pPr>
            <w:r w:rsidRPr="00FE76C8">
              <w:rPr>
                <w:rFonts w:ascii="Arial Narrow" w:hAnsi="Arial Narrow"/>
              </w:rPr>
              <w:t>114</w:t>
            </w:r>
          </w:p>
        </w:tc>
        <w:tc>
          <w:tcPr>
            <w:tcW w:w="1551" w:type="dxa"/>
          </w:tcPr>
          <w:p w14:paraId="61782507" w14:textId="77777777" w:rsidR="006A1612" w:rsidRPr="00FE76C8" w:rsidRDefault="006A1612" w:rsidP="000F3B2B">
            <w:pPr>
              <w:jc w:val="center"/>
              <w:rPr>
                <w:rFonts w:ascii="Arial Narrow" w:hAnsi="Arial Narrow"/>
              </w:rPr>
            </w:pPr>
            <w:r w:rsidRPr="00FE76C8">
              <w:rPr>
                <w:rFonts w:ascii="Arial Narrow" w:hAnsi="Arial Narrow"/>
              </w:rPr>
              <w:t>14</w:t>
            </w:r>
          </w:p>
        </w:tc>
      </w:tr>
      <w:tr w:rsidR="006A1612" w:rsidRPr="00FE76C8" w14:paraId="0177D8AC" w14:textId="77777777" w:rsidTr="000F3B2B">
        <w:trPr>
          <w:jc w:val="center"/>
        </w:trPr>
        <w:tc>
          <w:tcPr>
            <w:tcW w:w="1752" w:type="dxa"/>
            <w:vMerge/>
          </w:tcPr>
          <w:p w14:paraId="57D7BAE8" w14:textId="77777777" w:rsidR="006A1612" w:rsidRPr="00FE76C8" w:rsidRDefault="006A1612" w:rsidP="000F3B2B">
            <w:pPr>
              <w:jc w:val="center"/>
              <w:rPr>
                <w:rFonts w:ascii="Arial Narrow" w:hAnsi="Arial Narrow"/>
              </w:rPr>
            </w:pPr>
          </w:p>
        </w:tc>
        <w:tc>
          <w:tcPr>
            <w:tcW w:w="2020" w:type="dxa"/>
          </w:tcPr>
          <w:p w14:paraId="0A2A3A9D" w14:textId="77777777" w:rsidR="006A1612" w:rsidRPr="00FE76C8" w:rsidRDefault="006A1612" w:rsidP="000F3B2B">
            <w:pPr>
              <w:jc w:val="center"/>
              <w:rPr>
                <w:rFonts w:ascii="Arial Narrow" w:hAnsi="Arial Narrow"/>
              </w:rPr>
            </w:pPr>
            <w:r w:rsidRPr="00FE76C8">
              <w:rPr>
                <w:rFonts w:ascii="Arial Narrow" w:hAnsi="Arial Narrow"/>
              </w:rPr>
              <w:t>July</w:t>
            </w:r>
          </w:p>
        </w:tc>
        <w:tc>
          <w:tcPr>
            <w:tcW w:w="1954" w:type="dxa"/>
          </w:tcPr>
          <w:p w14:paraId="111754D5" w14:textId="77777777" w:rsidR="006A1612" w:rsidRPr="00FE76C8" w:rsidRDefault="006A1612" w:rsidP="000F3B2B">
            <w:pPr>
              <w:jc w:val="center"/>
              <w:rPr>
                <w:rFonts w:ascii="Arial Narrow" w:hAnsi="Arial Narrow"/>
              </w:rPr>
            </w:pPr>
            <w:r w:rsidRPr="00FE76C8">
              <w:rPr>
                <w:rFonts w:ascii="Arial Narrow" w:hAnsi="Arial Narrow"/>
              </w:rPr>
              <w:t>3</w:t>
            </w:r>
          </w:p>
        </w:tc>
        <w:tc>
          <w:tcPr>
            <w:tcW w:w="1551" w:type="dxa"/>
          </w:tcPr>
          <w:p w14:paraId="471E20E8" w14:textId="77777777" w:rsidR="006A1612" w:rsidRPr="00FE76C8" w:rsidRDefault="006A1612" w:rsidP="000F3B2B">
            <w:pPr>
              <w:jc w:val="center"/>
              <w:rPr>
                <w:rFonts w:ascii="Arial Narrow" w:hAnsi="Arial Narrow"/>
              </w:rPr>
            </w:pPr>
            <w:r w:rsidRPr="00FE76C8">
              <w:rPr>
                <w:rFonts w:ascii="Arial Narrow" w:hAnsi="Arial Narrow"/>
              </w:rPr>
              <w:t>86</w:t>
            </w:r>
          </w:p>
        </w:tc>
        <w:tc>
          <w:tcPr>
            <w:tcW w:w="1551" w:type="dxa"/>
          </w:tcPr>
          <w:p w14:paraId="69E14097" w14:textId="77777777" w:rsidR="006A1612" w:rsidRPr="00FE76C8" w:rsidRDefault="006A1612" w:rsidP="000F3B2B">
            <w:pPr>
              <w:jc w:val="center"/>
              <w:rPr>
                <w:rFonts w:ascii="Arial Narrow" w:hAnsi="Arial Narrow"/>
              </w:rPr>
            </w:pPr>
            <w:r w:rsidRPr="00FE76C8">
              <w:rPr>
                <w:rFonts w:ascii="Arial Narrow" w:hAnsi="Arial Narrow"/>
              </w:rPr>
              <w:t>26</w:t>
            </w:r>
          </w:p>
        </w:tc>
      </w:tr>
      <w:tr w:rsidR="006A1612" w:rsidRPr="00FE76C8" w14:paraId="25FD7A54" w14:textId="77777777" w:rsidTr="000F3B2B">
        <w:trPr>
          <w:jc w:val="center"/>
        </w:trPr>
        <w:tc>
          <w:tcPr>
            <w:tcW w:w="1752" w:type="dxa"/>
            <w:vMerge/>
          </w:tcPr>
          <w:p w14:paraId="6DBFDC9A" w14:textId="77777777" w:rsidR="006A1612" w:rsidRPr="00FE76C8" w:rsidRDefault="006A1612" w:rsidP="000F3B2B">
            <w:pPr>
              <w:jc w:val="center"/>
              <w:rPr>
                <w:rFonts w:ascii="Arial Narrow" w:hAnsi="Arial Narrow"/>
              </w:rPr>
            </w:pPr>
          </w:p>
        </w:tc>
        <w:tc>
          <w:tcPr>
            <w:tcW w:w="2020" w:type="dxa"/>
          </w:tcPr>
          <w:p w14:paraId="747F00E5" w14:textId="77777777" w:rsidR="006A1612" w:rsidRPr="00FE76C8" w:rsidRDefault="006A1612" w:rsidP="000F3B2B">
            <w:pPr>
              <w:jc w:val="center"/>
              <w:rPr>
                <w:rFonts w:ascii="Arial Narrow" w:hAnsi="Arial Narrow"/>
              </w:rPr>
            </w:pPr>
            <w:r w:rsidRPr="00FE76C8">
              <w:rPr>
                <w:rFonts w:ascii="Arial Narrow" w:hAnsi="Arial Narrow"/>
              </w:rPr>
              <w:t>August</w:t>
            </w:r>
          </w:p>
        </w:tc>
        <w:tc>
          <w:tcPr>
            <w:tcW w:w="1954" w:type="dxa"/>
          </w:tcPr>
          <w:p w14:paraId="47524DA6" w14:textId="77777777" w:rsidR="006A1612" w:rsidRPr="00FE76C8" w:rsidRDefault="006A1612" w:rsidP="000F3B2B">
            <w:pPr>
              <w:jc w:val="center"/>
              <w:rPr>
                <w:rFonts w:ascii="Arial Narrow" w:hAnsi="Arial Narrow"/>
              </w:rPr>
            </w:pPr>
            <w:r w:rsidRPr="00FE76C8">
              <w:rPr>
                <w:rFonts w:ascii="Arial Narrow" w:hAnsi="Arial Narrow"/>
              </w:rPr>
              <w:t>1</w:t>
            </w:r>
          </w:p>
        </w:tc>
        <w:tc>
          <w:tcPr>
            <w:tcW w:w="1551" w:type="dxa"/>
          </w:tcPr>
          <w:p w14:paraId="3B79A7E8" w14:textId="77777777" w:rsidR="006A1612" w:rsidRPr="00FE76C8" w:rsidRDefault="006A1612" w:rsidP="000F3B2B">
            <w:pPr>
              <w:jc w:val="center"/>
              <w:rPr>
                <w:rFonts w:ascii="Arial Narrow" w:hAnsi="Arial Narrow"/>
              </w:rPr>
            </w:pPr>
            <w:r w:rsidRPr="00FE76C8">
              <w:rPr>
                <w:rFonts w:ascii="Arial Narrow" w:hAnsi="Arial Narrow"/>
              </w:rPr>
              <w:t>102</w:t>
            </w:r>
          </w:p>
        </w:tc>
        <w:tc>
          <w:tcPr>
            <w:tcW w:w="1551" w:type="dxa"/>
          </w:tcPr>
          <w:p w14:paraId="452B3783" w14:textId="77777777" w:rsidR="006A1612" w:rsidRPr="00FE76C8" w:rsidRDefault="006A1612" w:rsidP="000F3B2B">
            <w:pPr>
              <w:jc w:val="center"/>
              <w:rPr>
                <w:rFonts w:ascii="Arial Narrow" w:hAnsi="Arial Narrow"/>
              </w:rPr>
            </w:pPr>
            <w:r w:rsidRPr="00FE76C8">
              <w:rPr>
                <w:rFonts w:ascii="Arial Narrow" w:hAnsi="Arial Narrow"/>
              </w:rPr>
              <w:t>24</w:t>
            </w:r>
          </w:p>
        </w:tc>
      </w:tr>
      <w:tr w:rsidR="006A1612" w:rsidRPr="00FE76C8" w14:paraId="012A0106" w14:textId="77777777" w:rsidTr="000F3B2B">
        <w:trPr>
          <w:jc w:val="center"/>
        </w:trPr>
        <w:tc>
          <w:tcPr>
            <w:tcW w:w="1752" w:type="dxa"/>
            <w:vMerge/>
          </w:tcPr>
          <w:p w14:paraId="084AA4E9" w14:textId="77777777" w:rsidR="006A1612" w:rsidRPr="00FE76C8" w:rsidRDefault="006A1612" w:rsidP="000F3B2B">
            <w:pPr>
              <w:jc w:val="center"/>
              <w:rPr>
                <w:rFonts w:ascii="Arial Narrow" w:hAnsi="Arial Narrow"/>
              </w:rPr>
            </w:pPr>
          </w:p>
        </w:tc>
        <w:tc>
          <w:tcPr>
            <w:tcW w:w="2020" w:type="dxa"/>
          </w:tcPr>
          <w:p w14:paraId="32A5418E" w14:textId="77777777" w:rsidR="006A1612" w:rsidRPr="00FE76C8" w:rsidRDefault="006A1612" w:rsidP="000F3B2B">
            <w:pPr>
              <w:jc w:val="center"/>
              <w:rPr>
                <w:rFonts w:ascii="Arial Narrow" w:hAnsi="Arial Narrow"/>
              </w:rPr>
            </w:pPr>
            <w:r w:rsidRPr="00FE76C8">
              <w:rPr>
                <w:rFonts w:ascii="Arial Narrow" w:hAnsi="Arial Narrow"/>
              </w:rPr>
              <w:t>September</w:t>
            </w:r>
          </w:p>
        </w:tc>
        <w:tc>
          <w:tcPr>
            <w:tcW w:w="1954" w:type="dxa"/>
          </w:tcPr>
          <w:p w14:paraId="08D0C64C" w14:textId="77777777" w:rsidR="006A1612" w:rsidRPr="00FE76C8" w:rsidRDefault="006A1612" w:rsidP="000F3B2B">
            <w:pPr>
              <w:jc w:val="center"/>
              <w:rPr>
                <w:rFonts w:ascii="Arial Narrow" w:hAnsi="Arial Narrow"/>
              </w:rPr>
            </w:pPr>
            <w:r w:rsidRPr="00FE76C8">
              <w:rPr>
                <w:rFonts w:ascii="Arial Narrow" w:hAnsi="Arial Narrow"/>
              </w:rPr>
              <w:t>2</w:t>
            </w:r>
          </w:p>
        </w:tc>
        <w:tc>
          <w:tcPr>
            <w:tcW w:w="1551" w:type="dxa"/>
          </w:tcPr>
          <w:p w14:paraId="4C53FFB1" w14:textId="77777777" w:rsidR="006A1612" w:rsidRPr="00FE76C8" w:rsidRDefault="006A1612" w:rsidP="000F3B2B">
            <w:pPr>
              <w:jc w:val="center"/>
              <w:rPr>
                <w:rFonts w:ascii="Arial Narrow" w:hAnsi="Arial Narrow"/>
              </w:rPr>
            </w:pPr>
            <w:r w:rsidRPr="00FE76C8">
              <w:rPr>
                <w:rFonts w:ascii="Arial Narrow" w:hAnsi="Arial Narrow"/>
              </w:rPr>
              <w:t>69</w:t>
            </w:r>
          </w:p>
        </w:tc>
        <w:tc>
          <w:tcPr>
            <w:tcW w:w="1551" w:type="dxa"/>
          </w:tcPr>
          <w:p w14:paraId="4D84F7FA" w14:textId="77777777" w:rsidR="006A1612" w:rsidRPr="00FE76C8" w:rsidRDefault="006A1612" w:rsidP="000F3B2B">
            <w:pPr>
              <w:jc w:val="center"/>
              <w:rPr>
                <w:rFonts w:ascii="Arial Narrow" w:hAnsi="Arial Narrow"/>
              </w:rPr>
            </w:pPr>
            <w:r w:rsidRPr="00FE76C8">
              <w:rPr>
                <w:rFonts w:ascii="Arial Narrow" w:hAnsi="Arial Narrow"/>
              </w:rPr>
              <w:t>14</w:t>
            </w:r>
          </w:p>
        </w:tc>
      </w:tr>
      <w:tr w:rsidR="006A1612" w:rsidRPr="00FE76C8" w14:paraId="604DD4EA" w14:textId="77777777" w:rsidTr="000F3B2B">
        <w:trPr>
          <w:jc w:val="center"/>
        </w:trPr>
        <w:tc>
          <w:tcPr>
            <w:tcW w:w="1752" w:type="dxa"/>
            <w:vMerge/>
          </w:tcPr>
          <w:p w14:paraId="4375F66E" w14:textId="77777777" w:rsidR="006A1612" w:rsidRPr="00FE76C8" w:rsidRDefault="006A1612" w:rsidP="000F3B2B">
            <w:pPr>
              <w:jc w:val="center"/>
              <w:rPr>
                <w:rFonts w:ascii="Arial Narrow" w:hAnsi="Arial Narrow"/>
              </w:rPr>
            </w:pPr>
          </w:p>
        </w:tc>
        <w:tc>
          <w:tcPr>
            <w:tcW w:w="2020" w:type="dxa"/>
          </w:tcPr>
          <w:p w14:paraId="1F7BBD18" w14:textId="77777777" w:rsidR="006A1612" w:rsidRPr="00FE76C8" w:rsidRDefault="006A1612" w:rsidP="000F3B2B">
            <w:pPr>
              <w:jc w:val="center"/>
              <w:rPr>
                <w:rFonts w:ascii="Arial Narrow" w:hAnsi="Arial Narrow"/>
              </w:rPr>
            </w:pPr>
            <w:r w:rsidRPr="00FE76C8">
              <w:rPr>
                <w:rFonts w:ascii="Arial Narrow" w:hAnsi="Arial Narrow"/>
              </w:rPr>
              <w:t>October</w:t>
            </w:r>
          </w:p>
        </w:tc>
        <w:tc>
          <w:tcPr>
            <w:tcW w:w="1954" w:type="dxa"/>
          </w:tcPr>
          <w:p w14:paraId="69120C92" w14:textId="77777777" w:rsidR="006A1612" w:rsidRPr="00FE76C8" w:rsidRDefault="006A1612" w:rsidP="000F3B2B">
            <w:pPr>
              <w:jc w:val="center"/>
              <w:rPr>
                <w:rFonts w:ascii="Arial Narrow" w:hAnsi="Arial Narrow"/>
              </w:rPr>
            </w:pPr>
            <w:r w:rsidRPr="00FE76C8">
              <w:rPr>
                <w:rFonts w:ascii="Arial Narrow" w:hAnsi="Arial Narrow"/>
              </w:rPr>
              <w:t>1</w:t>
            </w:r>
          </w:p>
        </w:tc>
        <w:tc>
          <w:tcPr>
            <w:tcW w:w="1551" w:type="dxa"/>
          </w:tcPr>
          <w:p w14:paraId="7479287C" w14:textId="77777777" w:rsidR="006A1612" w:rsidRPr="00FE76C8" w:rsidRDefault="006A1612" w:rsidP="000F3B2B">
            <w:pPr>
              <w:jc w:val="center"/>
              <w:rPr>
                <w:rFonts w:ascii="Arial Narrow" w:hAnsi="Arial Narrow"/>
              </w:rPr>
            </w:pPr>
            <w:r w:rsidRPr="00FE76C8">
              <w:rPr>
                <w:rFonts w:ascii="Arial Narrow" w:hAnsi="Arial Narrow"/>
              </w:rPr>
              <w:t>93</w:t>
            </w:r>
          </w:p>
        </w:tc>
        <w:tc>
          <w:tcPr>
            <w:tcW w:w="1551" w:type="dxa"/>
          </w:tcPr>
          <w:p w14:paraId="67130904" w14:textId="77777777" w:rsidR="006A1612" w:rsidRPr="00FE76C8" w:rsidRDefault="006A1612" w:rsidP="000F3B2B">
            <w:pPr>
              <w:jc w:val="center"/>
              <w:rPr>
                <w:rFonts w:ascii="Arial Narrow" w:hAnsi="Arial Narrow"/>
              </w:rPr>
            </w:pPr>
            <w:r w:rsidRPr="00FE76C8">
              <w:rPr>
                <w:rFonts w:ascii="Arial Narrow" w:hAnsi="Arial Narrow"/>
              </w:rPr>
              <w:t>10</w:t>
            </w:r>
          </w:p>
        </w:tc>
      </w:tr>
      <w:tr w:rsidR="006A1612" w:rsidRPr="00FE76C8" w14:paraId="6514B292" w14:textId="77777777" w:rsidTr="000F3B2B">
        <w:trPr>
          <w:jc w:val="center"/>
        </w:trPr>
        <w:tc>
          <w:tcPr>
            <w:tcW w:w="1752" w:type="dxa"/>
            <w:vMerge/>
          </w:tcPr>
          <w:p w14:paraId="24EDF584" w14:textId="77777777" w:rsidR="006A1612" w:rsidRPr="00FE76C8" w:rsidRDefault="006A1612" w:rsidP="000F3B2B">
            <w:pPr>
              <w:jc w:val="center"/>
              <w:rPr>
                <w:rFonts w:ascii="Arial Narrow" w:hAnsi="Arial Narrow"/>
              </w:rPr>
            </w:pPr>
          </w:p>
        </w:tc>
        <w:tc>
          <w:tcPr>
            <w:tcW w:w="2020" w:type="dxa"/>
          </w:tcPr>
          <w:p w14:paraId="57F0A0FE" w14:textId="77777777" w:rsidR="006A1612" w:rsidRPr="00FE76C8" w:rsidRDefault="006A1612" w:rsidP="000F3B2B">
            <w:pPr>
              <w:jc w:val="center"/>
              <w:rPr>
                <w:rFonts w:ascii="Arial Narrow" w:hAnsi="Arial Narrow"/>
              </w:rPr>
            </w:pPr>
            <w:r w:rsidRPr="00FE76C8">
              <w:rPr>
                <w:rFonts w:ascii="Arial Narrow" w:hAnsi="Arial Narrow"/>
              </w:rPr>
              <w:t>November</w:t>
            </w:r>
          </w:p>
        </w:tc>
        <w:tc>
          <w:tcPr>
            <w:tcW w:w="1954" w:type="dxa"/>
          </w:tcPr>
          <w:p w14:paraId="455D1A86" w14:textId="77777777" w:rsidR="006A1612" w:rsidRPr="00FE76C8" w:rsidRDefault="006A1612" w:rsidP="000F3B2B">
            <w:pPr>
              <w:jc w:val="center"/>
              <w:rPr>
                <w:rFonts w:ascii="Arial Narrow" w:hAnsi="Arial Narrow"/>
              </w:rPr>
            </w:pPr>
            <w:r w:rsidRPr="00FE76C8">
              <w:rPr>
                <w:rFonts w:ascii="Arial Narrow" w:hAnsi="Arial Narrow"/>
              </w:rPr>
              <w:t>3</w:t>
            </w:r>
          </w:p>
        </w:tc>
        <w:tc>
          <w:tcPr>
            <w:tcW w:w="1551" w:type="dxa"/>
          </w:tcPr>
          <w:p w14:paraId="1FCF4FE3" w14:textId="77777777" w:rsidR="006A1612" w:rsidRPr="00FE76C8" w:rsidRDefault="006A1612" w:rsidP="000F3B2B">
            <w:pPr>
              <w:jc w:val="center"/>
              <w:rPr>
                <w:rFonts w:ascii="Arial Narrow" w:hAnsi="Arial Narrow"/>
              </w:rPr>
            </w:pPr>
            <w:r w:rsidRPr="00FE76C8">
              <w:rPr>
                <w:rFonts w:ascii="Arial Narrow" w:hAnsi="Arial Narrow"/>
              </w:rPr>
              <w:t>68</w:t>
            </w:r>
          </w:p>
        </w:tc>
        <w:tc>
          <w:tcPr>
            <w:tcW w:w="1551" w:type="dxa"/>
          </w:tcPr>
          <w:p w14:paraId="6F387CB2" w14:textId="77777777" w:rsidR="006A1612" w:rsidRPr="00FE76C8" w:rsidRDefault="006A1612" w:rsidP="000F3B2B">
            <w:pPr>
              <w:jc w:val="center"/>
              <w:rPr>
                <w:rFonts w:ascii="Arial Narrow" w:hAnsi="Arial Narrow"/>
              </w:rPr>
            </w:pPr>
            <w:r w:rsidRPr="00FE76C8">
              <w:rPr>
                <w:rFonts w:ascii="Arial Narrow" w:hAnsi="Arial Narrow"/>
              </w:rPr>
              <w:t>15</w:t>
            </w:r>
          </w:p>
        </w:tc>
      </w:tr>
      <w:tr w:rsidR="006A1612" w:rsidRPr="00FE76C8" w14:paraId="39FAABDC" w14:textId="77777777" w:rsidTr="000F3B2B">
        <w:trPr>
          <w:jc w:val="center"/>
        </w:trPr>
        <w:tc>
          <w:tcPr>
            <w:tcW w:w="1752" w:type="dxa"/>
            <w:vMerge/>
          </w:tcPr>
          <w:p w14:paraId="66137942" w14:textId="77777777" w:rsidR="006A1612" w:rsidRPr="00FE76C8" w:rsidRDefault="006A1612" w:rsidP="000F3B2B">
            <w:pPr>
              <w:jc w:val="center"/>
              <w:rPr>
                <w:rFonts w:ascii="Arial Narrow" w:hAnsi="Arial Narrow"/>
              </w:rPr>
            </w:pPr>
          </w:p>
        </w:tc>
        <w:tc>
          <w:tcPr>
            <w:tcW w:w="2020" w:type="dxa"/>
          </w:tcPr>
          <w:p w14:paraId="141FBA3D" w14:textId="77777777" w:rsidR="006A1612" w:rsidRPr="00FE76C8" w:rsidRDefault="006A1612" w:rsidP="000F3B2B">
            <w:pPr>
              <w:jc w:val="center"/>
              <w:rPr>
                <w:rFonts w:ascii="Arial Narrow" w:hAnsi="Arial Narrow"/>
              </w:rPr>
            </w:pPr>
            <w:r w:rsidRPr="00FE76C8">
              <w:rPr>
                <w:rFonts w:ascii="Arial Narrow" w:hAnsi="Arial Narrow"/>
              </w:rPr>
              <w:t>December</w:t>
            </w:r>
          </w:p>
        </w:tc>
        <w:tc>
          <w:tcPr>
            <w:tcW w:w="1954" w:type="dxa"/>
          </w:tcPr>
          <w:p w14:paraId="203860CC" w14:textId="77777777" w:rsidR="006A1612" w:rsidRPr="00FE76C8" w:rsidRDefault="006A1612" w:rsidP="000F3B2B">
            <w:pPr>
              <w:jc w:val="center"/>
              <w:rPr>
                <w:rFonts w:ascii="Arial Narrow" w:hAnsi="Arial Narrow"/>
              </w:rPr>
            </w:pPr>
            <w:r w:rsidRPr="00FE76C8">
              <w:rPr>
                <w:rFonts w:ascii="Arial Narrow" w:hAnsi="Arial Narrow"/>
              </w:rPr>
              <w:t>17</w:t>
            </w:r>
          </w:p>
        </w:tc>
        <w:tc>
          <w:tcPr>
            <w:tcW w:w="1551" w:type="dxa"/>
          </w:tcPr>
          <w:p w14:paraId="2DE63326" w14:textId="77777777" w:rsidR="006A1612" w:rsidRPr="00FE76C8" w:rsidRDefault="006A1612" w:rsidP="000F3B2B">
            <w:pPr>
              <w:jc w:val="center"/>
              <w:rPr>
                <w:rFonts w:ascii="Arial Narrow" w:hAnsi="Arial Narrow"/>
              </w:rPr>
            </w:pPr>
            <w:r w:rsidRPr="00FE76C8">
              <w:rPr>
                <w:rFonts w:ascii="Arial Narrow" w:hAnsi="Arial Narrow"/>
              </w:rPr>
              <w:t>93</w:t>
            </w:r>
          </w:p>
        </w:tc>
        <w:tc>
          <w:tcPr>
            <w:tcW w:w="1551" w:type="dxa"/>
          </w:tcPr>
          <w:p w14:paraId="734505C1" w14:textId="77777777" w:rsidR="006A1612" w:rsidRPr="00FE76C8" w:rsidRDefault="006A1612" w:rsidP="000F3B2B">
            <w:pPr>
              <w:jc w:val="center"/>
              <w:rPr>
                <w:rFonts w:ascii="Arial Narrow" w:hAnsi="Arial Narrow"/>
              </w:rPr>
            </w:pPr>
            <w:r w:rsidRPr="00FE76C8">
              <w:rPr>
                <w:rFonts w:ascii="Arial Narrow" w:hAnsi="Arial Narrow"/>
              </w:rPr>
              <w:t>19</w:t>
            </w:r>
          </w:p>
        </w:tc>
      </w:tr>
      <w:tr w:rsidR="006A1612" w:rsidRPr="00FE76C8" w14:paraId="4F75A12B" w14:textId="77777777" w:rsidTr="000F3B2B">
        <w:trPr>
          <w:jc w:val="center"/>
        </w:trPr>
        <w:tc>
          <w:tcPr>
            <w:tcW w:w="1752" w:type="dxa"/>
            <w:vMerge w:val="restart"/>
          </w:tcPr>
          <w:p w14:paraId="609FDC3B" w14:textId="77777777" w:rsidR="006A1612" w:rsidRPr="00FE76C8" w:rsidRDefault="006A1612" w:rsidP="000F3B2B">
            <w:pPr>
              <w:jc w:val="center"/>
              <w:rPr>
                <w:rFonts w:ascii="Arial Narrow" w:hAnsi="Arial Narrow"/>
              </w:rPr>
            </w:pPr>
            <w:r w:rsidRPr="00FE76C8">
              <w:rPr>
                <w:rFonts w:ascii="Arial Narrow" w:hAnsi="Arial Narrow"/>
              </w:rPr>
              <w:t>2020</w:t>
            </w:r>
          </w:p>
          <w:p w14:paraId="6FD09DF2" w14:textId="77777777" w:rsidR="006A1612" w:rsidRPr="00FE76C8" w:rsidRDefault="006A1612" w:rsidP="000F3B2B">
            <w:pPr>
              <w:jc w:val="center"/>
              <w:rPr>
                <w:rFonts w:ascii="Arial Narrow" w:hAnsi="Arial Narrow"/>
              </w:rPr>
            </w:pPr>
          </w:p>
        </w:tc>
        <w:tc>
          <w:tcPr>
            <w:tcW w:w="2020" w:type="dxa"/>
          </w:tcPr>
          <w:p w14:paraId="314836F0" w14:textId="77777777" w:rsidR="006A1612" w:rsidRPr="00FE76C8" w:rsidRDefault="006A1612" w:rsidP="000F3B2B">
            <w:pPr>
              <w:jc w:val="center"/>
              <w:rPr>
                <w:rFonts w:ascii="Arial Narrow" w:hAnsi="Arial Narrow"/>
              </w:rPr>
            </w:pPr>
            <w:r w:rsidRPr="00FE76C8">
              <w:rPr>
                <w:rFonts w:ascii="Arial Narrow" w:hAnsi="Arial Narrow"/>
              </w:rPr>
              <w:t xml:space="preserve">January </w:t>
            </w:r>
          </w:p>
        </w:tc>
        <w:tc>
          <w:tcPr>
            <w:tcW w:w="1954" w:type="dxa"/>
          </w:tcPr>
          <w:p w14:paraId="3A706FED" w14:textId="77777777" w:rsidR="006A1612" w:rsidRPr="00FE76C8" w:rsidRDefault="006A1612" w:rsidP="000F3B2B">
            <w:pPr>
              <w:jc w:val="center"/>
              <w:rPr>
                <w:rFonts w:ascii="Arial Narrow" w:hAnsi="Arial Narrow"/>
              </w:rPr>
            </w:pPr>
            <w:r w:rsidRPr="00FE76C8">
              <w:rPr>
                <w:rFonts w:ascii="Arial Narrow" w:hAnsi="Arial Narrow"/>
              </w:rPr>
              <w:t>37</w:t>
            </w:r>
          </w:p>
        </w:tc>
        <w:tc>
          <w:tcPr>
            <w:tcW w:w="1551" w:type="dxa"/>
          </w:tcPr>
          <w:p w14:paraId="0682AFAB" w14:textId="77777777" w:rsidR="006A1612" w:rsidRPr="00FE76C8" w:rsidRDefault="006A1612" w:rsidP="000F3B2B">
            <w:pPr>
              <w:jc w:val="center"/>
              <w:rPr>
                <w:rFonts w:ascii="Arial Narrow" w:hAnsi="Arial Narrow"/>
              </w:rPr>
            </w:pPr>
            <w:r w:rsidRPr="00FE76C8">
              <w:rPr>
                <w:rFonts w:ascii="Arial Narrow" w:hAnsi="Arial Narrow"/>
              </w:rPr>
              <w:t>82</w:t>
            </w:r>
          </w:p>
        </w:tc>
        <w:tc>
          <w:tcPr>
            <w:tcW w:w="1551" w:type="dxa"/>
          </w:tcPr>
          <w:p w14:paraId="5E99DB0E" w14:textId="77777777" w:rsidR="006A1612" w:rsidRPr="00FE76C8" w:rsidRDefault="006A1612" w:rsidP="000F3B2B">
            <w:pPr>
              <w:jc w:val="center"/>
              <w:rPr>
                <w:rFonts w:ascii="Arial Narrow" w:hAnsi="Arial Narrow"/>
              </w:rPr>
            </w:pPr>
            <w:r w:rsidRPr="00FE76C8">
              <w:rPr>
                <w:rFonts w:ascii="Arial Narrow" w:hAnsi="Arial Narrow"/>
              </w:rPr>
              <w:t>20</w:t>
            </w:r>
          </w:p>
        </w:tc>
      </w:tr>
      <w:tr w:rsidR="006A1612" w:rsidRPr="00FE76C8" w14:paraId="40CB48E0" w14:textId="77777777" w:rsidTr="000F3B2B">
        <w:trPr>
          <w:jc w:val="center"/>
        </w:trPr>
        <w:tc>
          <w:tcPr>
            <w:tcW w:w="1752" w:type="dxa"/>
            <w:vMerge/>
          </w:tcPr>
          <w:p w14:paraId="6EB4DCD7" w14:textId="77777777" w:rsidR="006A1612" w:rsidRPr="00FE76C8" w:rsidRDefault="006A1612" w:rsidP="000F3B2B">
            <w:pPr>
              <w:jc w:val="center"/>
              <w:rPr>
                <w:rFonts w:ascii="Arial Narrow" w:hAnsi="Arial Narrow"/>
              </w:rPr>
            </w:pPr>
          </w:p>
        </w:tc>
        <w:tc>
          <w:tcPr>
            <w:tcW w:w="2020" w:type="dxa"/>
          </w:tcPr>
          <w:p w14:paraId="2B89055D" w14:textId="77777777" w:rsidR="006A1612" w:rsidRPr="00FE76C8" w:rsidRDefault="006A1612" w:rsidP="000F3B2B">
            <w:pPr>
              <w:jc w:val="center"/>
              <w:rPr>
                <w:rFonts w:ascii="Arial Narrow" w:hAnsi="Arial Narrow"/>
              </w:rPr>
            </w:pPr>
            <w:r w:rsidRPr="00FE76C8">
              <w:rPr>
                <w:rFonts w:ascii="Arial Narrow" w:hAnsi="Arial Narrow"/>
              </w:rPr>
              <w:t>February</w:t>
            </w:r>
          </w:p>
        </w:tc>
        <w:tc>
          <w:tcPr>
            <w:tcW w:w="1954" w:type="dxa"/>
          </w:tcPr>
          <w:p w14:paraId="429F91C8" w14:textId="77777777" w:rsidR="006A1612" w:rsidRPr="00FE76C8" w:rsidRDefault="006A1612" w:rsidP="000F3B2B">
            <w:pPr>
              <w:jc w:val="center"/>
              <w:rPr>
                <w:rFonts w:ascii="Arial Narrow" w:hAnsi="Arial Narrow"/>
              </w:rPr>
            </w:pPr>
            <w:r w:rsidRPr="00FE76C8">
              <w:rPr>
                <w:rFonts w:ascii="Arial Narrow" w:hAnsi="Arial Narrow"/>
              </w:rPr>
              <w:t>75</w:t>
            </w:r>
          </w:p>
        </w:tc>
        <w:tc>
          <w:tcPr>
            <w:tcW w:w="1551" w:type="dxa"/>
          </w:tcPr>
          <w:p w14:paraId="7EA88D0E" w14:textId="77777777" w:rsidR="006A1612" w:rsidRPr="00FE76C8" w:rsidRDefault="006A1612" w:rsidP="000F3B2B">
            <w:pPr>
              <w:jc w:val="center"/>
              <w:rPr>
                <w:rFonts w:ascii="Arial Narrow" w:hAnsi="Arial Narrow"/>
              </w:rPr>
            </w:pPr>
            <w:r w:rsidRPr="00FE76C8">
              <w:rPr>
                <w:rFonts w:ascii="Arial Narrow" w:hAnsi="Arial Narrow"/>
              </w:rPr>
              <w:t>66</w:t>
            </w:r>
          </w:p>
        </w:tc>
        <w:tc>
          <w:tcPr>
            <w:tcW w:w="1551" w:type="dxa"/>
          </w:tcPr>
          <w:p w14:paraId="23384567" w14:textId="77777777" w:rsidR="006A1612" w:rsidRPr="00FE76C8" w:rsidRDefault="006A1612" w:rsidP="000F3B2B">
            <w:pPr>
              <w:jc w:val="center"/>
              <w:rPr>
                <w:rFonts w:ascii="Arial Narrow" w:hAnsi="Arial Narrow"/>
              </w:rPr>
            </w:pPr>
            <w:r w:rsidRPr="00FE76C8">
              <w:rPr>
                <w:rFonts w:ascii="Arial Narrow" w:hAnsi="Arial Narrow"/>
              </w:rPr>
              <w:t>15</w:t>
            </w:r>
          </w:p>
        </w:tc>
      </w:tr>
      <w:tr w:rsidR="006A1612" w:rsidRPr="00FE76C8" w14:paraId="2A8334CE" w14:textId="77777777" w:rsidTr="000F3B2B">
        <w:trPr>
          <w:jc w:val="center"/>
        </w:trPr>
        <w:tc>
          <w:tcPr>
            <w:tcW w:w="1752" w:type="dxa"/>
            <w:vMerge/>
          </w:tcPr>
          <w:p w14:paraId="51B785A7" w14:textId="77777777" w:rsidR="006A1612" w:rsidRPr="00FE76C8" w:rsidRDefault="006A1612" w:rsidP="000F3B2B">
            <w:pPr>
              <w:jc w:val="center"/>
              <w:rPr>
                <w:rFonts w:ascii="Arial Narrow" w:hAnsi="Arial Narrow"/>
              </w:rPr>
            </w:pPr>
          </w:p>
        </w:tc>
        <w:tc>
          <w:tcPr>
            <w:tcW w:w="2020" w:type="dxa"/>
          </w:tcPr>
          <w:p w14:paraId="088F2E10" w14:textId="77777777" w:rsidR="006A1612" w:rsidRPr="00FE76C8" w:rsidRDefault="006A1612" w:rsidP="000F3B2B">
            <w:pPr>
              <w:jc w:val="center"/>
              <w:rPr>
                <w:rFonts w:ascii="Arial Narrow" w:hAnsi="Arial Narrow"/>
              </w:rPr>
            </w:pPr>
            <w:r w:rsidRPr="00FE76C8">
              <w:rPr>
                <w:rFonts w:ascii="Arial Narrow" w:hAnsi="Arial Narrow"/>
              </w:rPr>
              <w:t>March</w:t>
            </w:r>
          </w:p>
        </w:tc>
        <w:tc>
          <w:tcPr>
            <w:tcW w:w="1954" w:type="dxa"/>
          </w:tcPr>
          <w:p w14:paraId="77E6DFD8" w14:textId="77777777" w:rsidR="006A1612" w:rsidRPr="00FE76C8" w:rsidRDefault="006A1612" w:rsidP="000F3B2B">
            <w:pPr>
              <w:jc w:val="center"/>
              <w:rPr>
                <w:rFonts w:ascii="Arial Narrow" w:hAnsi="Arial Narrow"/>
              </w:rPr>
            </w:pPr>
            <w:r w:rsidRPr="00FE76C8">
              <w:rPr>
                <w:rFonts w:ascii="Arial Narrow" w:hAnsi="Arial Narrow"/>
              </w:rPr>
              <w:t>21</w:t>
            </w:r>
          </w:p>
        </w:tc>
        <w:tc>
          <w:tcPr>
            <w:tcW w:w="1551" w:type="dxa"/>
          </w:tcPr>
          <w:p w14:paraId="6F265EF9" w14:textId="77777777" w:rsidR="006A1612" w:rsidRPr="00FE76C8" w:rsidRDefault="006A1612" w:rsidP="000F3B2B">
            <w:pPr>
              <w:jc w:val="center"/>
              <w:rPr>
                <w:rFonts w:ascii="Arial Narrow" w:hAnsi="Arial Narrow"/>
              </w:rPr>
            </w:pPr>
            <w:r w:rsidRPr="00FE76C8">
              <w:rPr>
                <w:rFonts w:ascii="Arial Narrow" w:hAnsi="Arial Narrow"/>
              </w:rPr>
              <w:t>74</w:t>
            </w:r>
          </w:p>
        </w:tc>
        <w:tc>
          <w:tcPr>
            <w:tcW w:w="1551" w:type="dxa"/>
          </w:tcPr>
          <w:p w14:paraId="2E1659E3" w14:textId="77777777" w:rsidR="006A1612" w:rsidRPr="00FE76C8" w:rsidRDefault="006A1612" w:rsidP="000F3B2B">
            <w:pPr>
              <w:jc w:val="center"/>
              <w:rPr>
                <w:rFonts w:ascii="Arial Narrow" w:hAnsi="Arial Narrow"/>
              </w:rPr>
            </w:pPr>
            <w:r w:rsidRPr="00FE76C8">
              <w:rPr>
                <w:rFonts w:ascii="Arial Narrow" w:hAnsi="Arial Narrow"/>
              </w:rPr>
              <w:t>12</w:t>
            </w:r>
          </w:p>
        </w:tc>
      </w:tr>
      <w:tr w:rsidR="006A1612" w:rsidRPr="00FE76C8" w14:paraId="6780F658" w14:textId="77777777" w:rsidTr="000F3B2B">
        <w:trPr>
          <w:jc w:val="center"/>
        </w:trPr>
        <w:tc>
          <w:tcPr>
            <w:tcW w:w="3772" w:type="dxa"/>
            <w:gridSpan w:val="2"/>
          </w:tcPr>
          <w:p w14:paraId="068D866D" w14:textId="77777777" w:rsidR="006A1612" w:rsidRPr="006401AE" w:rsidRDefault="006A1612" w:rsidP="000F3B2B">
            <w:pPr>
              <w:jc w:val="center"/>
              <w:rPr>
                <w:rFonts w:ascii="Arial Narrow" w:hAnsi="Arial Narrow"/>
                <w:b/>
                <w:bCs/>
              </w:rPr>
            </w:pPr>
            <w:r w:rsidRPr="006401AE">
              <w:rPr>
                <w:rFonts w:ascii="Arial Narrow" w:hAnsi="Arial Narrow"/>
                <w:b/>
                <w:bCs/>
              </w:rPr>
              <w:t>Total</w:t>
            </w:r>
          </w:p>
        </w:tc>
        <w:tc>
          <w:tcPr>
            <w:tcW w:w="1954" w:type="dxa"/>
          </w:tcPr>
          <w:p w14:paraId="7E6AB0ED" w14:textId="77777777" w:rsidR="006A1612" w:rsidRPr="00FE76C8" w:rsidRDefault="006A1612" w:rsidP="000F3B2B">
            <w:pPr>
              <w:jc w:val="center"/>
              <w:rPr>
                <w:rFonts w:ascii="Arial Narrow" w:hAnsi="Arial Narrow"/>
              </w:rPr>
            </w:pPr>
            <w:r w:rsidRPr="00FE76C8">
              <w:rPr>
                <w:rFonts w:ascii="Arial Narrow" w:hAnsi="Arial Narrow"/>
              </w:rPr>
              <w:t>178</w:t>
            </w:r>
          </w:p>
        </w:tc>
        <w:tc>
          <w:tcPr>
            <w:tcW w:w="1551" w:type="dxa"/>
          </w:tcPr>
          <w:p w14:paraId="5E12702D" w14:textId="77777777" w:rsidR="006A1612" w:rsidRPr="00FE76C8" w:rsidRDefault="006A1612" w:rsidP="000F3B2B">
            <w:pPr>
              <w:jc w:val="center"/>
              <w:rPr>
                <w:rFonts w:ascii="Arial Narrow" w:hAnsi="Arial Narrow"/>
              </w:rPr>
            </w:pPr>
            <w:r w:rsidRPr="00FE76C8">
              <w:rPr>
                <w:rFonts w:ascii="Arial Narrow" w:hAnsi="Arial Narrow"/>
              </w:rPr>
              <w:t>1023</w:t>
            </w:r>
          </w:p>
        </w:tc>
        <w:tc>
          <w:tcPr>
            <w:tcW w:w="1551" w:type="dxa"/>
          </w:tcPr>
          <w:p w14:paraId="046666C3" w14:textId="77777777" w:rsidR="006A1612" w:rsidRPr="00FE76C8" w:rsidRDefault="006A1612" w:rsidP="000F3B2B">
            <w:pPr>
              <w:jc w:val="center"/>
              <w:rPr>
                <w:rFonts w:ascii="Arial Narrow" w:hAnsi="Arial Narrow"/>
              </w:rPr>
            </w:pPr>
            <w:r w:rsidRPr="00FE76C8">
              <w:rPr>
                <w:rFonts w:ascii="Arial Narrow" w:hAnsi="Arial Narrow"/>
              </w:rPr>
              <w:t>204</w:t>
            </w:r>
          </w:p>
        </w:tc>
      </w:tr>
    </w:tbl>
    <w:p w14:paraId="59776DF3" w14:textId="77777777" w:rsidR="006A1612" w:rsidRPr="00FE76C8" w:rsidRDefault="006A1612" w:rsidP="006A1612">
      <w:pPr>
        <w:jc w:val="center"/>
        <w:rPr>
          <w:rFonts w:ascii="Arial Narrow" w:eastAsia="Arial Narrow" w:hAnsi="Arial Narrow" w:cs="Arial Narrow"/>
        </w:rPr>
      </w:pPr>
      <w:r w:rsidRPr="00FE76C8">
        <w:rPr>
          <w:rFonts w:ascii="Arial Narrow" w:eastAsia="Arial Narrow" w:hAnsi="Arial Narrow" w:cs="Arial Narrow"/>
        </w:rPr>
        <w:t>Source: Own elaboration, based on case study.</w:t>
      </w:r>
    </w:p>
    <w:p w14:paraId="55C1F744" w14:textId="77777777" w:rsidR="006A1612" w:rsidRPr="00FE76C8" w:rsidRDefault="006A1612" w:rsidP="006A1612">
      <w:pPr>
        <w:jc w:val="center"/>
        <w:rPr>
          <w:rFonts w:ascii="Arial Narrow" w:eastAsia="Arial Narrow" w:hAnsi="Arial Narrow" w:cs="Arial Narrow"/>
        </w:rPr>
      </w:pPr>
    </w:p>
    <w:p w14:paraId="0D37CC70" w14:textId="77777777" w:rsidR="006A1612" w:rsidRPr="00FE76C8" w:rsidRDefault="006A1612" w:rsidP="006A1612"/>
    <w:p w14:paraId="30AAAB45" w14:textId="77777777" w:rsidR="006A1612" w:rsidRPr="00FE76C8" w:rsidRDefault="006A1612" w:rsidP="006A1612">
      <w:pPr>
        <w:rPr>
          <w:rFonts w:ascii="Arial Narrow" w:hAnsi="Arial Narrow"/>
          <w14:ligatures w14:val="none"/>
        </w:rPr>
      </w:pPr>
    </w:p>
    <w:p w14:paraId="4C980ACA" w14:textId="77777777" w:rsidR="00FC214C" w:rsidRDefault="00FC214C"/>
    <w:sectPr w:rsidR="00FC214C" w:rsidSect="00EF7603">
      <w:pgSz w:w="15840" w:h="12240"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12"/>
    <w:rsid w:val="002011D2"/>
    <w:rsid w:val="00454B23"/>
    <w:rsid w:val="006A1612"/>
    <w:rsid w:val="00C22A02"/>
    <w:rsid w:val="00E83F5C"/>
    <w:rsid w:val="00ED19A8"/>
    <w:rsid w:val="00EF7603"/>
    <w:rsid w:val="00FC21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62FD1D2"/>
  <w15:chartTrackingRefBased/>
  <w15:docId w15:val="{5EEF9CE8-5AC9-CD44-92D3-1255240D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612"/>
    <w:pPr>
      <w:spacing w:after="160" w:line="259" w:lineRule="auto"/>
    </w:pPr>
    <w:rPr>
      <w:kern w:val="0"/>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A1612"/>
    <w:rPr>
      <w:kern w:val="0"/>
      <w:sz w:val="22"/>
      <w:szCs w:val="22"/>
      <w:lang w:val="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A1612"/>
    <w:pPr>
      <w:spacing w:after="200" w:line="240" w:lineRule="auto"/>
    </w:pPr>
    <w:rPr>
      <w:i/>
      <w:iCs/>
      <w:color w:val="44546A" w:themeColor="text2"/>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8287</Words>
  <Characters>45580</Characters>
  <Application>Microsoft Office Word</Application>
  <DocSecurity>0</DocSecurity>
  <Lines>379</Lines>
  <Paragraphs>107</Paragraphs>
  <ScaleCrop>false</ScaleCrop>
  <Company/>
  <LinksUpToDate>false</LinksUpToDate>
  <CharactersWithSpaces>53760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Valentina Bocanegra Villegas</dc:creator>
  <cp:keywords/>
  <dc:description/>
  <cp:lastModifiedBy>Laura Valentina Bocanegra Villegas</cp:lastModifiedBy>
  <cp:revision>2</cp:revision>
  <dcterms:created xsi:type="dcterms:W3CDTF">2024-01-11T01:50:00Z</dcterms:created>
  <dcterms:modified xsi:type="dcterms:W3CDTF">2024-01-11T01:51:00Z</dcterms:modified>
</cp:coreProperties>
</file>