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47DFC">
      <w:pPr>
        <w:ind w:firstLine="1040"/>
        <w:jc w:val="center"/>
        <w:rPr>
          <w:rFonts w:hint="eastAsia" w:ascii="宋体" w:hAnsi="宋体"/>
          <w:sz w:val="52"/>
          <w:szCs w:val="52"/>
        </w:rPr>
      </w:pPr>
      <w:r>
        <w:rPr>
          <w:rFonts w:hint="eastAsia" w:ascii="宋体" w:hAnsi="宋体"/>
          <w:sz w:val="52"/>
          <w:szCs w:val="52"/>
        </w:rPr>
        <w:t>华 中 科 技 大 学</w:t>
      </w:r>
    </w:p>
    <w:p w14:paraId="28121646">
      <w:pPr>
        <w:ind w:firstLine="1040"/>
        <w:jc w:val="center"/>
        <w:rPr>
          <w:rFonts w:hint="eastAsia" w:ascii="宋体" w:hAnsi="宋体"/>
          <w:szCs w:val="21"/>
        </w:rPr>
      </w:pPr>
      <w:r>
        <w:rPr>
          <w:rFonts w:hint="eastAsia" w:ascii="宋体" w:hAnsi="宋体"/>
          <w:sz w:val="52"/>
          <w:szCs w:val="52"/>
        </w:rPr>
        <w:t>研究生课程考试答题本</w:t>
      </w:r>
    </w:p>
    <w:p w14:paraId="58ED3A4B">
      <w:pPr>
        <w:ind w:firstLine="480"/>
        <w:jc w:val="center"/>
        <w:rPr>
          <w:rFonts w:hint="eastAsia" w:ascii="宋体" w:hAnsi="宋体"/>
        </w:rPr>
      </w:pPr>
      <w:r>
        <w:rPr>
          <w:rFonts w:hint="eastAsia" w:ascii="宋体" w:hAnsi="宋体"/>
        </w:rPr>
        <w:t xml:space="preserve"> </w:t>
      </w:r>
    </w:p>
    <w:p w14:paraId="1FE2384C">
      <w:pPr>
        <w:ind w:firstLine="480"/>
        <w:jc w:val="center"/>
        <w:rPr>
          <w:rFonts w:hint="eastAsia" w:ascii="宋体" w:hAnsi="宋体"/>
        </w:rPr>
      </w:pPr>
      <w:r>
        <w:rPr>
          <w:rFonts w:hint="eastAsia" w:ascii="宋体" w:hAnsi="宋体"/>
        </w:rPr>
        <w:t xml:space="preserve"> </w:t>
      </w:r>
    </w:p>
    <w:p w14:paraId="44968869">
      <w:pPr>
        <w:ind w:firstLine="480"/>
        <w:jc w:val="center"/>
        <w:rPr>
          <w:rFonts w:hint="eastAsia" w:ascii="宋体" w:hAnsi="宋体"/>
        </w:rPr>
      </w:pPr>
      <w:r>
        <w:rPr>
          <w:rFonts w:hint="eastAsia" w:ascii="宋体" w:hAnsi="宋体"/>
        </w:rPr>
        <w:t xml:space="preserve"> </w:t>
      </w:r>
    </w:p>
    <w:p w14:paraId="5DFC04F3">
      <w:pPr>
        <w:ind w:firstLine="480"/>
        <w:jc w:val="center"/>
        <w:rPr>
          <w:rFonts w:hint="eastAsia" w:ascii="宋体" w:hAnsi="宋体"/>
        </w:rPr>
      </w:pPr>
      <w:r>
        <w:rPr>
          <w:rFonts w:hint="eastAsia" w:ascii="宋体" w:hAnsi="宋体"/>
        </w:rPr>
        <w:t xml:space="preserve"> </w:t>
      </w:r>
    </w:p>
    <w:p w14:paraId="2856D231">
      <w:pPr>
        <w:ind w:firstLine="640"/>
        <w:jc w:val="center"/>
        <w:rPr>
          <w:sz w:val="32"/>
          <w:szCs w:val="32"/>
        </w:rPr>
      </w:pPr>
      <w:r>
        <w:rPr>
          <w:rFonts w:hint="eastAsia"/>
          <w:sz w:val="32"/>
          <w:szCs w:val="32"/>
        </w:rPr>
        <w:t>报告题目：网络空间安全赋能智慧城市高质量发展：基于经济、政治与生态文明建设的协同路径研究</w:t>
      </w:r>
    </w:p>
    <w:p w14:paraId="25CA7B91">
      <w:pPr>
        <w:ind w:firstLine="480"/>
        <w:jc w:val="center"/>
        <w:rPr>
          <w:rFonts w:hint="eastAsia" w:ascii="宋体" w:hAnsi="宋体"/>
        </w:rPr>
      </w:pPr>
      <w:r>
        <w:rPr>
          <w:rFonts w:hint="eastAsia" w:ascii="宋体" w:hAnsi="宋体"/>
        </w:rPr>
        <w:t xml:space="preserve"> </w:t>
      </w:r>
    </w:p>
    <w:p w14:paraId="63F33461">
      <w:pPr>
        <w:ind w:firstLine="480"/>
        <w:jc w:val="center"/>
        <w:rPr>
          <w:rFonts w:hint="eastAsia" w:ascii="宋体" w:hAnsi="宋体"/>
        </w:rPr>
      </w:pPr>
      <w:r>
        <w:rPr>
          <w:rFonts w:hint="eastAsia" w:ascii="宋体" w:hAnsi="宋体"/>
        </w:rPr>
        <w:t xml:space="preserve"> </w:t>
      </w:r>
    </w:p>
    <w:p w14:paraId="042D4AC1">
      <w:pPr>
        <w:ind w:firstLine="480"/>
        <w:jc w:val="center"/>
        <w:rPr>
          <w:rFonts w:hint="eastAsia" w:ascii="宋体" w:hAnsi="宋体"/>
        </w:rPr>
      </w:pPr>
      <w:r>
        <w:rPr>
          <w:rFonts w:hint="eastAsia" w:ascii="宋体" w:hAnsi="宋体"/>
        </w:rPr>
        <w:t xml:space="preserve"> </w:t>
      </w:r>
    </w:p>
    <w:p w14:paraId="58997599">
      <w:pPr>
        <w:ind w:firstLine="480"/>
        <w:jc w:val="center"/>
        <w:rPr>
          <w:rFonts w:hint="eastAsia" w:ascii="宋体" w:hAnsi="宋体"/>
        </w:rPr>
      </w:pPr>
      <w:r>
        <w:rPr>
          <w:rFonts w:hint="eastAsia" w:ascii="宋体" w:hAnsi="宋体"/>
        </w:rPr>
        <w:t xml:space="preserve"> </w:t>
      </w:r>
    </w:p>
    <w:p w14:paraId="12416439">
      <w:pPr>
        <w:ind w:firstLine="640"/>
        <w:rPr>
          <w:rFonts w:hint="eastAsia" w:ascii="宋体" w:hAnsi="宋体"/>
          <w:sz w:val="32"/>
          <w:szCs w:val="32"/>
          <w:u w:val="single"/>
        </w:rPr>
      </w:pPr>
      <w:r>
        <w:rPr>
          <w:rFonts w:hint="eastAsia" w:ascii="宋体" w:hAnsi="宋体"/>
          <w:sz w:val="32"/>
          <w:szCs w:val="32"/>
        </w:rPr>
        <w:t xml:space="preserve">考生姓名 </w:t>
      </w:r>
      <w:r>
        <w:rPr>
          <w:rFonts w:hint="eastAsia" w:ascii="宋体" w:hAnsi="宋体"/>
          <w:sz w:val="32"/>
          <w:szCs w:val="32"/>
          <w:u w:val="single"/>
        </w:rPr>
        <w:t xml:space="preserve">       卢淼、黄章静、叶一璇         </w:t>
      </w:r>
    </w:p>
    <w:p w14:paraId="71AE98EC">
      <w:pPr>
        <w:ind w:firstLine="640"/>
        <w:rPr>
          <w:rFonts w:hint="eastAsia" w:ascii="宋体" w:hAnsi="宋体"/>
          <w:sz w:val="32"/>
          <w:szCs w:val="32"/>
          <w:u w:val="single"/>
        </w:rPr>
      </w:pPr>
      <w:r>
        <w:rPr>
          <w:rFonts w:hint="eastAsia" w:ascii="宋体" w:hAnsi="宋体"/>
          <w:sz w:val="32"/>
          <w:szCs w:val="32"/>
        </w:rPr>
        <w:t xml:space="preserve">考生学号 </w:t>
      </w:r>
      <w:r>
        <w:rPr>
          <w:rFonts w:hint="eastAsia" w:ascii="宋体" w:hAnsi="宋体"/>
          <w:sz w:val="32"/>
          <w:szCs w:val="32"/>
          <w:u w:val="single"/>
        </w:rPr>
        <w:t xml:space="preserve"> M202572173、M202572221、M202572310 </w:t>
      </w:r>
    </w:p>
    <w:p w14:paraId="522D9B1B">
      <w:pPr>
        <w:ind w:firstLine="640"/>
        <w:rPr>
          <w:rFonts w:hint="eastAsia" w:ascii="宋体" w:hAnsi="宋体"/>
          <w:sz w:val="32"/>
          <w:szCs w:val="32"/>
          <w:u w:val="single"/>
        </w:rPr>
      </w:pPr>
      <w:r>
        <w:rPr>
          <w:rFonts w:hint="eastAsia" w:ascii="宋体" w:hAnsi="宋体"/>
          <w:sz w:val="32"/>
          <w:szCs w:val="32"/>
        </w:rPr>
        <w:t xml:space="preserve">系、年级 </w:t>
      </w:r>
      <w:r>
        <w:rPr>
          <w:rFonts w:hint="eastAsia" w:ascii="宋体" w:hAnsi="宋体"/>
          <w:sz w:val="32"/>
          <w:szCs w:val="32"/>
          <w:u w:val="single"/>
        </w:rPr>
        <w:t xml:space="preserve">     网络空间安全学院2025级        </w:t>
      </w:r>
    </w:p>
    <w:p w14:paraId="4A5C00C4">
      <w:pPr>
        <w:ind w:firstLine="640"/>
        <w:rPr>
          <w:rFonts w:hint="eastAsia" w:ascii="宋体" w:hAnsi="宋体"/>
          <w:sz w:val="32"/>
          <w:szCs w:val="32"/>
          <w:u w:val="single"/>
        </w:rPr>
      </w:pPr>
      <w:r>
        <w:rPr>
          <w:rFonts w:hint="eastAsia" w:ascii="宋体" w:hAnsi="宋体"/>
          <w:sz w:val="32"/>
          <w:szCs w:val="32"/>
        </w:rPr>
        <w:t xml:space="preserve">类    别 </w:t>
      </w:r>
      <w:r>
        <w:rPr>
          <w:rFonts w:hint="eastAsia" w:ascii="宋体" w:hAnsi="宋体"/>
          <w:sz w:val="32"/>
          <w:szCs w:val="32"/>
          <w:u w:val="single"/>
        </w:rPr>
        <w:t xml:space="preserve">            硕士研究生              </w:t>
      </w:r>
    </w:p>
    <w:p w14:paraId="46964747">
      <w:pPr>
        <w:ind w:firstLine="640"/>
        <w:rPr>
          <w:rFonts w:hint="eastAsia" w:ascii="宋体" w:hAnsi="宋体"/>
          <w:szCs w:val="21"/>
          <w:u w:val="single"/>
        </w:rPr>
      </w:pPr>
      <w:r>
        <w:rPr>
          <w:rFonts w:hint="eastAsia" w:ascii="宋体" w:hAnsi="宋体"/>
          <w:sz w:val="32"/>
          <w:szCs w:val="32"/>
        </w:rPr>
        <w:t xml:space="preserve">日    期 </w:t>
      </w:r>
      <w:r>
        <w:rPr>
          <w:rFonts w:hint="eastAsia" w:ascii="宋体" w:hAnsi="宋体"/>
          <w:sz w:val="32"/>
          <w:szCs w:val="32"/>
          <w:u w:val="single"/>
        </w:rPr>
        <w:t xml:space="preserve">        2025 年 11 月 17 日         </w:t>
      </w:r>
    </w:p>
    <w:p w14:paraId="0E395419">
      <w:pPr>
        <w:widowControl/>
        <w:ind w:firstLine="562"/>
        <w:jc w:val="left"/>
        <w:rPr>
          <w:b/>
          <w:bCs/>
          <w:sz w:val="28"/>
        </w:rPr>
      </w:pPr>
      <w:r>
        <w:rPr>
          <w:b/>
          <w:bCs/>
          <w:kern w:val="0"/>
          <w:sz w:val="28"/>
        </w:rPr>
        <w:br w:type="page"/>
      </w:r>
    </w:p>
    <w:p w14:paraId="53FFCC0E">
      <w:pPr>
        <w:pStyle w:val="2"/>
      </w:pPr>
      <w:bookmarkStart w:id="0" w:name="_Toc214298722"/>
      <w:r>
        <w:rPr>
          <w:rFonts w:hint="eastAsia"/>
        </w:rPr>
        <w:t>摘    要</w:t>
      </w:r>
      <w:bookmarkEnd w:id="0"/>
    </w:p>
    <w:p w14:paraId="2D4327AB">
      <w:pPr>
        <w:ind w:firstLine="480"/>
        <w:rPr>
          <w:rFonts w:hint="eastAsia" w:ascii="宋体" w:hAnsi="宋体" w:cs="宋体"/>
          <w:color w:val="000000"/>
          <w:kern w:val="0"/>
          <w:szCs w:val="24"/>
        </w:rPr>
      </w:pPr>
      <w:r>
        <w:rPr>
          <w:rFonts w:ascii="宋体" w:hAnsi="宋体" w:cs="宋体"/>
          <w:color w:val="000000"/>
          <w:kern w:val="0"/>
          <w:szCs w:val="24"/>
        </w:rPr>
        <w:t>在</w:t>
      </w:r>
      <w:r>
        <w:rPr>
          <w:rFonts w:hint="eastAsia" w:ascii="宋体" w:hAnsi="宋体" w:cs="宋体"/>
          <w:color w:val="000000"/>
          <w:kern w:val="0"/>
          <w:szCs w:val="24"/>
        </w:rPr>
        <w:t>“</w:t>
      </w:r>
      <w:r>
        <w:rPr>
          <w:rFonts w:ascii="宋体" w:hAnsi="宋体" w:cs="宋体"/>
          <w:color w:val="000000"/>
          <w:kern w:val="0"/>
          <w:szCs w:val="24"/>
        </w:rPr>
        <w:t>五位一体</w:t>
      </w:r>
      <w:r>
        <w:rPr>
          <w:rFonts w:hint="eastAsia" w:ascii="宋体" w:hAnsi="宋体" w:cs="宋体"/>
          <w:color w:val="000000"/>
          <w:kern w:val="0"/>
          <w:szCs w:val="24"/>
        </w:rPr>
        <w:t>”</w:t>
      </w:r>
      <w:r>
        <w:rPr>
          <w:rFonts w:ascii="宋体" w:hAnsi="宋体" w:cs="宋体"/>
          <w:color w:val="000000"/>
          <w:kern w:val="0"/>
          <w:szCs w:val="24"/>
        </w:rPr>
        <w:t>总体布局和</w:t>
      </w:r>
      <w:r>
        <w:rPr>
          <w:rFonts w:hint="eastAsia" w:ascii="宋体" w:hAnsi="宋体" w:cs="宋体"/>
          <w:color w:val="000000"/>
          <w:kern w:val="0"/>
          <w:szCs w:val="24"/>
        </w:rPr>
        <w:t>“</w:t>
      </w:r>
      <w:r>
        <w:rPr>
          <w:rFonts w:ascii="宋体" w:hAnsi="宋体" w:cs="宋体"/>
          <w:color w:val="000000"/>
          <w:kern w:val="0"/>
          <w:szCs w:val="24"/>
        </w:rPr>
        <w:t>网络强国</w:t>
      </w:r>
      <w:r>
        <w:rPr>
          <w:rFonts w:hint="eastAsia" w:ascii="宋体" w:hAnsi="宋体" w:cs="宋体"/>
          <w:color w:val="000000"/>
          <w:kern w:val="0"/>
          <w:szCs w:val="24"/>
        </w:rPr>
        <w:t>”</w:t>
      </w:r>
      <w:r>
        <w:rPr>
          <w:rFonts w:ascii="宋体" w:hAnsi="宋体" w:cs="宋体"/>
          <w:color w:val="000000"/>
          <w:kern w:val="0"/>
          <w:szCs w:val="24"/>
        </w:rPr>
        <w:t>战略指引下，智慧城市建设已成为推进中国式现代化的重要抓手。然而，高度数字化、网络化的城市系统在释放</w:t>
      </w:r>
      <w:r>
        <w:rPr>
          <w:rFonts w:hint="eastAsia" w:ascii="宋体" w:hAnsi="宋体" w:cs="宋体"/>
          <w:color w:val="000000"/>
          <w:kern w:val="0"/>
          <w:szCs w:val="24"/>
        </w:rPr>
        <w:t>“</w:t>
      </w:r>
      <w:r>
        <w:rPr>
          <w:rFonts w:ascii="宋体" w:hAnsi="宋体" w:cs="宋体"/>
          <w:color w:val="000000"/>
          <w:kern w:val="0"/>
          <w:szCs w:val="24"/>
        </w:rPr>
        <w:t>数字红利</w:t>
      </w:r>
      <w:r>
        <w:rPr>
          <w:rFonts w:hint="eastAsia" w:ascii="宋体" w:hAnsi="宋体" w:cs="宋体"/>
          <w:color w:val="000000"/>
          <w:kern w:val="0"/>
          <w:szCs w:val="24"/>
        </w:rPr>
        <w:t>”</w:t>
      </w:r>
      <w:r>
        <w:rPr>
          <w:rFonts w:ascii="宋体" w:hAnsi="宋体" w:cs="宋体"/>
          <w:color w:val="000000"/>
          <w:kern w:val="0"/>
          <w:szCs w:val="24"/>
        </w:rPr>
        <w:t>的同时，也暴露出结构性脆弱性，使其成为网络空间安全威胁的</w:t>
      </w:r>
      <w:r>
        <w:rPr>
          <w:rFonts w:hint="eastAsia" w:ascii="宋体" w:hAnsi="宋体" w:cs="宋体"/>
          <w:color w:val="000000"/>
          <w:kern w:val="0"/>
          <w:szCs w:val="24"/>
        </w:rPr>
        <w:t>“</w:t>
      </w:r>
      <w:r>
        <w:rPr>
          <w:rFonts w:ascii="宋体" w:hAnsi="宋体" w:cs="宋体"/>
          <w:color w:val="000000"/>
          <w:kern w:val="0"/>
          <w:szCs w:val="24"/>
        </w:rPr>
        <w:t>高价值目标</w:t>
      </w:r>
      <w:r>
        <w:rPr>
          <w:rFonts w:hint="eastAsia" w:ascii="宋体" w:hAnsi="宋体" w:cs="宋体"/>
          <w:color w:val="000000"/>
          <w:kern w:val="0"/>
          <w:szCs w:val="24"/>
        </w:rPr>
        <w:t>”</w:t>
      </w:r>
      <w:r>
        <w:rPr>
          <w:rFonts w:ascii="宋体" w:hAnsi="宋体" w:cs="宋体"/>
          <w:color w:val="000000"/>
          <w:kern w:val="0"/>
          <w:szCs w:val="24"/>
        </w:rPr>
        <w:t>。本文立足网络空间安全专业视角，以</w:t>
      </w:r>
      <w:r>
        <w:rPr>
          <w:rFonts w:hint="eastAsia" w:ascii="宋体" w:hAnsi="宋体" w:cs="宋体"/>
          <w:color w:val="000000"/>
          <w:kern w:val="0"/>
          <w:szCs w:val="24"/>
        </w:rPr>
        <w:t>“</w:t>
      </w:r>
      <w:r>
        <w:rPr>
          <w:rFonts w:ascii="宋体" w:hAnsi="宋体" w:cs="宋体"/>
          <w:color w:val="000000"/>
          <w:kern w:val="0"/>
          <w:szCs w:val="24"/>
        </w:rPr>
        <w:t>网络空间安全如何赋能智慧城市高质量发展</w:t>
      </w:r>
      <w:r>
        <w:rPr>
          <w:rFonts w:hint="eastAsia" w:ascii="宋体" w:hAnsi="宋体" w:cs="宋体"/>
          <w:color w:val="000000"/>
          <w:kern w:val="0"/>
          <w:szCs w:val="24"/>
        </w:rPr>
        <w:t>”</w:t>
      </w:r>
      <w:r>
        <w:rPr>
          <w:rFonts w:ascii="宋体" w:hAnsi="宋体" w:cs="宋体"/>
          <w:color w:val="000000"/>
          <w:kern w:val="0"/>
          <w:szCs w:val="24"/>
        </w:rPr>
        <w:t>为核心问题，系统分析智慧城市在经济建设、政治建设、生态文明建设三大领域面临的核心风险与治理困境。</w:t>
      </w:r>
    </w:p>
    <w:p w14:paraId="64DCE094">
      <w:pPr>
        <w:ind w:firstLine="480"/>
        <w:rPr>
          <w:rFonts w:hint="eastAsia" w:ascii="宋体" w:hAnsi="宋体" w:cs="宋体"/>
          <w:color w:val="000000"/>
          <w:kern w:val="0"/>
          <w:szCs w:val="24"/>
        </w:rPr>
      </w:pPr>
      <w:r>
        <w:rPr>
          <w:rFonts w:ascii="宋体" w:hAnsi="宋体" w:cs="宋体"/>
          <w:color w:val="000000"/>
          <w:kern w:val="0"/>
          <w:szCs w:val="24"/>
        </w:rPr>
        <w:t>在经济建设维度，研究揭示了数据泄露与知识产权侵权、关键数字基础设施被攻击、数据垄断与不正当竞争等风险，提出通过构建可信数据流通环境、保障数字金融安全、护航数字贸易等路径实现安全赋能经济发展。在政治建设维度，研究聚焦关键信息基础设施安全、网络渗透与意识形态安全、数据主权挑战等核心议题，提出强化电子政务安全、构建网络空间命运共同体下的自主防线、利用安全技术提升社会治理精度等路径，以高水平安全保障高质量治理。在生态文明建设维度，研究分析了智能电网、环境监测网络、智慧水务系统等绿色基础设施面临的网络安全威胁，提出构建</w:t>
      </w:r>
      <w:r>
        <w:rPr>
          <w:rFonts w:hint="eastAsia" w:ascii="宋体" w:hAnsi="宋体" w:cs="宋体"/>
          <w:color w:val="000000"/>
          <w:kern w:val="0"/>
          <w:szCs w:val="24"/>
        </w:rPr>
        <w:t>“</w:t>
      </w:r>
      <w:r>
        <w:rPr>
          <w:rFonts w:ascii="宋体" w:hAnsi="宋体" w:cs="宋体"/>
          <w:color w:val="000000"/>
          <w:kern w:val="0"/>
          <w:szCs w:val="24"/>
        </w:rPr>
        <w:t>云-管-边-端</w:t>
      </w:r>
      <w:r>
        <w:rPr>
          <w:rFonts w:hint="eastAsia" w:ascii="宋体" w:hAnsi="宋体" w:cs="宋体"/>
          <w:color w:val="000000"/>
          <w:kern w:val="0"/>
          <w:szCs w:val="24"/>
        </w:rPr>
        <w:t>”</w:t>
      </w:r>
      <w:r>
        <w:rPr>
          <w:rFonts w:ascii="宋体" w:hAnsi="宋体" w:cs="宋体"/>
          <w:color w:val="000000"/>
          <w:kern w:val="0"/>
          <w:szCs w:val="24"/>
        </w:rPr>
        <w:t>一体化纵深防御体系、建设可信生态数据管理机制、提升绿色公共服务韧性保障能力等路径，推动</w:t>
      </w:r>
      <w:r>
        <w:rPr>
          <w:rFonts w:hint="eastAsia" w:ascii="宋体" w:hAnsi="宋体" w:cs="宋体"/>
          <w:color w:val="000000"/>
          <w:kern w:val="0"/>
          <w:szCs w:val="24"/>
        </w:rPr>
        <w:t>“</w:t>
      </w:r>
      <w:r>
        <w:rPr>
          <w:rFonts w:ascii="宋体" w:hAnsi="宋体" w:cs="宋体"/>
          <w:color w:val="000000"/>
          <w:kern w:val="0"/>
          <w:szCs w:val="24"/>
        </w:rPr>
        <w:t>绿色-安全</w:t>
      </w:r>
      <w:r>
        <w:rPr>
          <w:rFonts w:hint="eastAsia" w:ascii="宋体" w:hAnsi="宋体" w:cs="宋体"/>
          <w:color w:val="000000"/>
          <w:kern w:val="0"/>
          <w:szCs w:val="24"/>
        </w:rPr>
        <w:t>”</w:t>
      </w:r>
      <w:r>
        <w:rPr>
          <w:rFonts w:ascii="宋体" w:hAnsi="宋体" w:cs="宋体"/>
          <w:color w:val="000000"/>
          <w:kern w:val="0"/>
          <w:szCs w:val="24"/>
        </w:rPr>
        <w:t>一体化发展。</w:t>
      </w:r>
    </w:p>
    <w:p w14:paraId="6D65ED9A">
      <w:pPr>
        <w:ind w:firstLine="480"/>
        <w:rPr>
          <w:rFonts w:hint="eastAsia" w:ascii="宋体" w:hAnsi="宋体" w:cs="宋体"/>
          <w:color w:val="000000"/>
          <w:kern w:val="0"/>
          <w:szCs w:val="24"/>
        </w:rPr>
      </w:pPr>
      <w:r>
        <w:rPr>
          <w:rFonts w:ascii="宋体" w:hAnsi="宋体" w:cs="宋体"/>
          <w:color w:val="000000"/>
          <w:kern w:val="0"/>
          <w:szCs w:val="24"/>
        </w:rPr>
        <w:t>研究认为，网络安全已从</w:t>
      </w:r>
      <w:r>
        <w:rPr>
          <w:rFonts w:hint="eastAsia" w:ascii="宋体" w:hAnsi="宋体" w:cs="宋体"/>
          <w:color w:val="000000"/>
          <w:kern w:val="0"/>
          <w:szCs w:val="24"/>
        </w:rPr>
        <w:t>“</w:t>
      </w:r>
      <w:r>
        <w:rPr>
          <w:rFonts w:ascii="宋体" w:hAnsi="宋体" w:cs="宋体"/>
          <w:color w:val="000000"/>
          <w:kern w:val="0"/>
          <w:szCs w:val="24"/>
        </w:rPr>
        <w:t>保障手段</w:t>
      </w:r>
      <w:r>
        <w:rPr>
          <w:rFonts w:hint="eastAsia" w:ascii="宋体" w:hAnsi="宋体" w:cs="宋体"/>
          <w:color w:val="000000"/>
          <w:kern w:val="0"/>
          <w:szCs w:val="24"/>
        </w:rPr>
        <w:t>”</w:t>
      </w:r>
      <w:r>
        <w:rPr>
          <w:rFonts w:ascii="宋体" w:hAnsi="宋体" w:cs="宋体"/>
          <w:color w:val="000000"/>
          <w:kern w:val="0"/>
          <w:szCs w:val="24"/>
        </w:rPr>
        <w:t>上升为</w:t>
      </w:r>
      <w:r>
        <w:rPr>
          <w:rFonts w:hint="eastAsia" w:ascii="宋体" w:hAnsi="宋体" w:cs="宋体"/>
          <w:color w:val="000000"/>
          <w:kern w:val="0"/>
          <w:szCs w:val="24"/>
        </w:rPr>
        <w:t>“</w:t>
      </w:r>
      <w:r>
        <w:rPr>
          <w:rFonts w:ascii="宋体" w:hAnsi="宋体" w:cs="宋体"/>
          <w:color w:val="000000"/>
          <w:kern w:val="0"/>
          <w:szCs w:val="24"/>
        </w:rPr>
        <w:t>发展前提</w:t>
      </w:r>
      <w:r>
        <w:rPr>
          <w:rFonts w:hint="eastAsia" w:ascii="宋体" w:hAnsi="宋体" w:cs="宋体"/>
          <w:color w:val="000000"/>
          <w:kern w:val="0"/>
          <w:szCs w:val="24"/>
        </w:rPr>
        <w:t>”</w:t>
      </w:r>
      <w:r>
        <w:rPr>
          <w:rFonts w:ascii="宋体" w:hAnsi="宋体" w:cs="宋体"/>
          <w:color w:val="000000"/>
          <w:kern w:val="0"/>
          <w:szCs w:val="24"/>
        </w:rPr>
        <w:t>，其核心价值在于构建可信、可控、可持续的数字生态。本文提出</w:t>
      </w:r>
      <w:r>
        <w:rPr>
          <w:rFonts w:hint="eastAsia" w:ascii="宋体" w:hAnsi="宋体" w:cs="宋体"/>
          <w:color w:val="000000"/>
          <w:kern w:val="0"/>
          <w:szCs w:val="24"/>
        </w:rPr>
        <w:t>“</w:t>
      </w:r>
      <w:r>
        <w:rPr>
          <w:rFonts w:ascii="宋体" w:hAnsi="宋体" w:cs="宋体"/>
          <w:color w:val="000000"/>
          <w:kern w:val="0"/>
          <w:szCs w:val="24"/>
        </w:rPr>
        <w:t>安全赋能</w:t>
      </w:r>
      <w:r>
        <w:rPr>
          <w:rFonts w:hint="eastAsia" w:ascii="宋体" w:hAnsi="宋体" w:cs="宋体"/>
          <w:color w:val="000000"/>
          <w:kern w:val="0"/>
          <w:szCs w:val="24"/>
        </w:rPr>
        <w:t>”</w:t>
      </w:r>
      <w:r>
        <w:rPr>
          <w:rFonts w:ascii="宋体" w:hAnsi="宋体" w:cs="宋体"/>
          <w:color w:val="000000"/>
          <w:kern w:val="0"/>
          <w:szCs w:val="24"/>
        </w:rPr>
        <w:t>理念，构建</w:t>
      </w:r>
      <w:r>
        <w:rPr>
          <w:rFonts w:hint="eastAsia" w:ascii="宋体" w:hAnsi="宋体" w:cs="宋体"/>
          <w:color w:val="000000"/>
          <w:kern w:val="0"/>
          <w:szCs w:val="24"/>
        </w:rPr>
        <w:t>“</w:t>
      </w:r>
      <w:r>
        <w:rPr>
          <w:rFonts w:ascii="宋体" w:hAnsi="宋体" w:cs="宋体"/>
          <w:color w:val="000000"/>
          <w:kern w:val="0"/>
          <w:szCs w:val="24"/>
        </w:rPr>
        <w:t>可信-自主-韧性</w:t>
      </w:r>
      <w:r>
        <w:rPr>
          <w:rFonts w:hint="eastAsia" w:ascii="宋体" w:hAnsi="宋体" w:cs="宋体"/>
          <w:color w:val="000000"/>
          <w:kern w:val="0"/>
          <w:szCs w:val="24"/>
        </w:rPr>
        <w:t>”</w:t>
      </w:r>
      <w:r>
        <w:rPr>
          <w:rFonts w:ascii="宋体" w:hAnsi="宋体" w:cs="宋体"/>
          <w:color w:val="000000"/>
          <w:kern w:val="0"/>
          <w:szCs w:val="24"/>
        </w:rPr>
        <w:t>的安全发展路径，突破</w:t>
      </w:r>
      <w:r>
        <w:rPr>
          <w:rFonts w:hint="eastAsia" w:ascii="宋体" w:hAnsi="宋体" w:cs="宋体"/>
          <w:color w:val="000000"/>
          <w:kern w:val="0"/>
          <w:szCs w:val="24"/>
        </w:rPr>
        <w:t>“</w:t>
      </w:r>
      <w:r>
        <w:rPr>
          <w:rFonts w:ascii="宋体" w:hAnsi="宋体" w:cs="宋体"/>
          <w:color w:val="000000"/>
          <w:kern w:val="0"/>
          <w:szCs w:val="24"/>
        </w:rPr>
        <w:t>技术—治理</w:t>
      </w:r>
      <w:r>
        <w:rPr>
          <w:rFonts w:hint="eastAsia" w:ascii="宋体" w:hAnsi="宋体" w:cs="宋体"/>
          <w:color w:val="000000"/>
          <w:kern w:val="0"/>
          <w:szCs w:val="24"/>
        </w:rPr>
        <w:t>”</w:t>
      </w:r>
      <w:r>
        <w:rPr>
          <w:rFonts w:ascii="宋体" w:hAnsi="宋体" w:cs="宋体"/>
          <w:color w:val="000000"/>
          <w:kern w:val="0"/>
          <w:szCs w:val="24"/>
        </w:rPr>
        <w:t>二元割裂的传统范式，构建一套兼顾发展与安全、融合创新与治理、服务人民与国家的智慧城市安全治理新框架。为此，本文提出制定数据要素市场安全准则与标准、建立数字经济新业态的网络安全</w:t>
      </w:r>
      <w:r>
        <w:rPr>
          <w:rFonts w:hint="eastAsia" w:ascii="宋体" w:hAnsi="宋体" w:cs="宋体"/>
          <w:color w:val="000000"/>
          <w:kern w:val="0"/>
          <w:szCs w:val="24"/>
        </w:rPr>
        <w:t>“</w:t>
      </w:r>
      <w:r>
        <w:rPr>
          <w:rFonts w:ascii="宋体" w:hAnsi="宋体" w:cs="宋体"/>
          <w:color w:val="000000"/>
          <w:kern w:val="0"/>
          <w:szCs w:val="24"/>
        </w:rPr>
        <w:t>沙盒监管</w:t>
      </w:r>
      <w:r>
        <w:rPr>
          <w:rFonts w:hint="eastAsia" w:ascii="宋体" w:hAnsi="宋体" w:cs="宋体"/>
          <w:color w:val="000000"/>
          <w:kern w:val="0"/>
          <w:szCs w:val="24"/>
        </w:rPr>
        <w:t>”</w:t>
      </w:r>
      <w:r>
        <w:rPr>
          <w:rFonts w:ascii="宋体" w:hAnsi="宋体" w:cs="宋体"/>
          <w:color w:val="000000"/>
          <w:kern w:val="0"/>
          <w:szCs w:val="24"/>
        </w:rPr>
        <w:t>机制、推动核心电子政务系统国产化替代、建立智慧城市舆情网络安全监测与引导机制、强化绿色基础设施安全刚性约束、建立跨部门协同演练与响应机制等系统性政策建议，旨在为智慧城市高质量发展提供可操作的安全治理方案，为推进中国式现代化提供坚实的数字安全保障。</w:t>
      </w:r>
    </w:p>
    <w:p w14:paraId="7A592F18">
      <w:pPr>
        <w:spacing w:before="156" w:beforeLines="50"/>
        <w:ind w:firstLine="0" w:firstLineChars="0"/>
        <w:rPr>
          <w:rFonts w:hint="eastAsia" w:ascii="宋体" w:hAnsi="宋体" w:cs="Times New Roman"/>
          <w:szCs w:val="20"/>
        </w:rPr>
      </w:pPr>
      <w:r>
        <w:rPr>
          <w:rFonts w:eastAsia="黑体" w:cs="Times New Roman"/>
          <w:b/>
          <w:bCs/>
          <w:szCs w:val="20"/>
        </w:rPr>
        <w:t>关键词：</w:t>
      </w:r>
      <w:r>
        <w:rPr>
          <w:rFonts w:hint="eastAsia" w:ascii="宋体" w:hAnsi="宋体" w:cs="Times New Roman"/>
          <w:szCs w:val="20"/>
        </w:rPr>
        <w:t>智慧城市</w:t>
      </w:r>
      <w:r>
        <w:rPr>
          <w:rFonts w:ascii="宋体" w:hAnsi="宋体" w:cs="Times New Roman"/>
          <w:szCs w:val="20"/>
        </w:rPr>
        <w:t>；</w:t>
      </w:r>
      <w:r>
        <w:rPr>
          <w:rFonts w:hint="eastAsia" w:ascii="宋体" w:hAnsi="宋体" w:cs="Times New Roman"/>
          <w:szCs w:val="20"/>
        </w:rPr>
        <w:t>网络安全</w:t>
      </w:r>
      <w:r>
        <w:rPr>
          <w:rFonts w:ascii="宋体" w:hAnsi="宋体" w:cs="Times New Roman"/>
          <w:szCs w:val="20"/>
        </w:rPr>
        <w:t>；</w:t>
      </w:r>
      <w:r>
        <w:rPr>
          <w:rFonts w:hint="eastAsia" w:ascii="宋体" w:hAnsi="宋体" w:cs="Times New Roman"/>
          <w:szCs w:val="20"/>
        </w:rPr>
        <w:t>经济建设</w:t>
      </w:r>
      <w:r>
        <w:rPr>
          <w:rFonts w:ascii="宋体" w:hAnsi="宋体" w:cs="Times New Roman"/>
          <w:szCs w:val="20"/>
        </w:rPr>
        <w:t>；</w:t>
      </w:r>
      <w:r>
        <w:rPr>
          <w:rFonts w:hint="eastAsia" w:ascii="宋体" w:hAnsi="宋体" w:cs="Times New Roman"/>
          <w:szCs w:val="20"/>
        </w:rPr>
        <w:t>政治建设；生态文明建设</w:t>
      </w:r>
    </w:p>
    <w:p w14:paraId="269B12B9">
      <w:pPr>
        <w:pStyle w:val="2"/>
      </w:pPr>
      <w:bookmarkStart w:id="1" w:name="_Toc214298723"/>
      <w:r>
        <w:rPr>
          <w:rFonts w:hint="eastAsia"/>
        </w:rPr>
        <w:t>目录</w:t>
      </w:r>
      <w:bookmarkEnd w:id="1"/>
      <w:r>
        <w:fldChar w:fldCharType="begin"/>
      </w:r>
      <w:r>
        <w:instrText xml:space="preserve"> TOC \o "1-3" \h \z \u </w:instrText>
      </w:r>
      <w:r>
        <w:fldChar w:fldCharType="separate"/>
      </w:r>
    </w:p>
    <w:p w14:paraId="262A09CB">
      <w:pPr>
        <w:pStyle w:val="15"/>
        <w:tabs>
          <w:tab w:val="right" w:leader="dot" w:pos="8296"/>
        </w:tabs>
        <w:ind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"_Toc214298722" </w:instrText>
      </w:r>
      <w:r>
        <w:fldChar w:fldCharType="separate"/>
      </w:r>
      <w:r>
        <w:rPr>
          <w:rStyle w:val="22"/>
          <w:rFonts w:hint="eastAsia"/>
        </w:rPr>
        <w:t>摘    要</w:t>
      </w:r>
      <w:r>
        <w:rPr>
          <w:rFonts w:hint="eastAsia"/>
        </w:rPr>
        <w:tab/>
      </w:r>
      <w:r>
        <w:rPr>
          <w:rFonts w:hint="eastAsia"/>
        </w:rPr>
        <w:fldChar w:fldCharType="begin"/>
      </w:r>
      <w:r>
        <w:rPr>
          <w:rFonts w:hint="eastAsia"/>
        </w:rPr>
        <w:instrText xml:space="preserve"> </w:instrText>
      </w:r>
      <w:r>
        <w:instrText xml:space="preserve">PAGEREF _Toc214298722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35C66845">
      <w:pPr>
        <w:pStyle w:val="15"/>
        <w:tabs>
          <w:tab w:val="right" w:leader="dot" w:pos="8296"/>
        </w:tabs>
        <w:ind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"_Toc214298723" </w:instrText>
      </w:r>
      <w:r>
        <w:fldChar w:fldCharType="separate"/>
      </w:r>
      <w:r>
        <w:rPr>
          <w:rStyle w:val="22"/>
          <w:rFonts w:hint="eastAsia"/>
        </w:rPr>
        <w:t>目录</w:t>
      </w:r>
      <w:r>
        <w:rPr>
          <w:rFonts w:hint="eastAsia"/>
        </w:rPr>
        <w:tab/>
      </w:r>
      <w:r>
        <w:rPr>
          <w:rFonts w:hint="eastAsia"/>
        </w:rPr>
        <w:fldChar w:fldCharType="begin"/>
      </w:r>
      <w:r>
        <w:rPr>
          <w:rFonts w:hint="eastAsia"/>
        </w:rPr>
        <w:instrText xml:space="preserve"> </w:instrText>
      </w:r>
      <w:r>
        <w:instrText xml:space="preserve">PAGEREF _Toc214298723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79AE966">
      <w:pPr>
        <w:pStyle w:val="15"/>
        <w:tabs>
          <w:tab w:val="right" w:leader="dot" w:pos="8296"/>
        </w:tabs>
        <w:ind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"_Toc214298724" </w:instrText>
      </w:r>
      <w:r>
        <w:fldChar w:fldCharType="separate"/>
      </w:r>
      <w:r>
        <w:rPr>
          <w:rStyle w:val="22"/>
          <w:rFonts w:hint="eastAsia"/>
        </w:rPr>
        <w:t>1 引言</w:t>
      </w:r>
      <w:r>
        <w:rPr>
          <w:rFonts w:hint="eastAsia"/>
        </w:rPr>
        <w:tab/>
      </w:r>
      <w:r>
        <w:rPr>
          <w:rFonts w:hint="eastAsia"/>
        </w:rPr>
        <w:fldChar w:fldCharType="begin"/>
      </w:r>
      <w:r>
        <w:rPr>
          <w:rFonts w:hint="eastAsia"/>
        </w:rPr>
        <w:instrText xml:space="preserve"> </w:instrText>
      </w:r>
      <w:r>
        <w:instrText xml:space="preserve">PAGEREF _Toc214298724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CF8A8BA">
      <w:pPr>
        <w:pStyle w:val="15"/>
        <w:tabs>
          <w:tab w:val="right" w:leader="dot" w:pos="8296"/>
        </w:tabs>
        <w:ind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"_Toc214298725" </w:instrText>
      </w:r>
      <w:r>
        <w:fldChar w:fldCharType="separate"/>
      </w:r>
      <w:r>
        <w:rPr>
          <w:rStyle w:val="22"/>
          <w:rFonts w:hint="eastAsia"/>
        </w:rPr>
        <w:t>2智慧城市数据要素市场化与安全治理体系研究</w:t>
      </w:r>
      <w:r>
        <w:rPr>
          <w:rFonts w:hint="eastAsia"/>
        </w:rPr>
        <w:tab/>
      </w:r>
      <w:r>
        <w:rPr>
          <w:rFonts w:hint="eastAsia"/>
        </w:rPr>
        <w:fldChar w:fldCharType="begin"/>
      </w:r>
      <w:r>
        <w:rPr>
          <w:rFonts w:hint="eastAsia"/>
        </w:rPr>
        <w:instrText xml:space="preserve"> </w:instrText>
      </w:r>
      <w:r>
        <w:instrText xml:space="preserve">PAGEREF _Toc214298725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A6DA3A9">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"_Toc214298726" </w:instrText>
      </w:r>
      <w:r>
        <w:fldChar w:fldCharType="separate"/>
      </w:r>
      <w:r>
        <w:rPr>
          <w:rStyle w:val="22"/>
          <w:rFonts w:hint="eastAsia"/>
        </w:rPr>
        <w:t>2.1经济风险分析</w:t>
      </w:r>
      <w:r>
        <w:rPr>
          <w:rFonts w:hint="eastAsia"/>
        </w:rPr>
        <w:tab/>
      </w:r>
      <w:r>
        <w:rPr>
          <w:rFonts w:hint="eastAsia"/>
        </w:rPr>
        <w:fldChar w:fldCharType="begin"/>
      </w:r>
      <w:r>
        <w:rPr>
          <w:rFonts w:hint="eastAsia"/>
        </w:rPr>
        <w:instrText xml:space="preserve"> </w:instrText>
      </w:r>
      <w:r>
        <w:instrText xml:space="preserve">PAGEREF _Toc214298726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B2C7E29">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"_Toc214298727" </w:instrText>
      </w:r>
      <w:r>
        <w:fldChar w:fldCharType="separate"/>
      </w:r>
      <w:r>
        <w:rPr>
          <w:rStyle w:val="22"/>
          <w:rFonts w:hint="eastAsia"/>
        </w:rPr>
        <w:t>2.1.1 数据泄露与知识产权侵权风险</w:t>
      </w:r>
      <w:r>
        <w:rPr>
          <w:rFonts w:hint="eastAsia"/>
        </w:rPr>
        <w:tab/>
      </w:r>
      <w:r>
        <w:rPr>
          <w:rFonts w:hint="eastAsia"/>
        </w:rPr>
        <w:fldChar w:fldCharType="begin"/>
      </w:r>
      <w:r>
        <w:rPr>
          <w:rFonts w:hint="eastAsia"/>
        </w:rPr>
        <w:instrText xml:space="preserve"> </w:instrText>
      </w:r>
      <w:r>
        <w:instrText xml:space="preserve">PAGEREF _Toc214298727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4F0B6B9">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"_Toc214298728" </w:instrText>
      </w:r>
      <w:r>
        <w:fldChar w:fldCharType="separate"/>
      </w:r>
      <w:r>
        <w:rPr>
          <w:rStyle w:val="22"/>
          <w:rFonts w:hint="eastAsia"/>
        </w:rPr>
        <w:t>2.1.2 关键数字基础设施被攻击的经济后果</w:t>
      </w:r>
      <w:r>
        <w:rPr>
          <w:rFonts w:hint="eastAsia"/>
        </w:rPr>
        <w:tab/>
      </w:r>
      <w:r>
        <w:rPr>
          <w:rFonts w:hint="eastAsia"/>
        </w:rPr>
        <w:fldChar w:fldCharType="begin"/>
      </w:r>
      <w:r>
        <w:rPr>
          <w:rFonts w:hint="eastAsia"/>
        </w:rPr>
        <w:instrText xml:space="preserve"> </w:instrText>
      </w:r>
      <w:r>
        <w:instrText xml:space="preserve">PAGEREF _Toc214298728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19EAA28">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"_Toc214298729" </w:instrText>
      </w:r>
      <w:r>
        <w:fldChar w:fldCharType="separate"/>
      </w:r>
      <w:r>
        <w:rPr>
          <w:rStyle w:val="22"/>
          <w:rFonts w:hint="eastAsia"/>
        </w:rPr>
        <w:t>2.1.3 数据垄断与不正当竞争</w:t>
      </w:r>
      <w:r>
        <w:rPr>
          <w:rFonts w:hint="eastAsia"/>
        </w:rPr>
        <w:tab/>
      </w:r>
      <w:r>
        <w:rPr>
          <w:rFonts w:hint="eastAsia"/>
        </w:rPr>
        <w:fldChar w:fldCharType="begin"/>
      </w:r>
      <w:r>
        <w:rPr>
          <w:rFonts w:hint="eastAsia"/>
        </w:rPr>
        <w:instrText xml:space="preserve"> </w:instrText>
      </w:r>
      <w:r>
        <w:instrText xml:space="preserve">PAGEREF _Toc214298729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EF276EF">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"_Toc214298730" </w:instrText>
      </w:r>
      <w:r>
        <w:fldChar w:fldCharType="separate"/>
      </w:r>
      <w:r>
        <w:rPr>
          <w:rStyle w:val="22"/>
          <w:rFonts w:hint="eastAsia"/>
        </w:rPr>
        <w:t>2.2 安全赋能经济发展路径</w:t>
      </w:r>
      <w:r>
        <w:rPr>
          <w:rFonts w:hint="eastAsia"/>
        </w:rPr>
        <w:tab/>
      </w:r>
      <w:r>
        <w:rPr>
          <w:rFonts w:hint="eastAsia"/>
        </w:rPr>
        <w:fldChar w:fldCharType="begin"/>
      </w:r>
      <w:r>
        <w:rPr>
          <w:rFonts w:hint="eastAsia"/>
        </w:rPr>
        <w:instrText xml:space="preserve"> </w:instrText>
      </w:r>
      <w:r>
        <w:instrText xml:space="preserve">PAGEREF _Toc214298730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6C95D5C">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"_Toc214298731" </w:instrText>
      </w:r>
      <w:r>
        <w:fldChar w:fldCharType="separate"/>
      </w:r>
      <w:r>
        <w:rPr>
          <w:rStyle w:val="22"/>
          <w:rFonts w:hint="eastAsia"/>
        </w:rPr>
        <w:t>2.2.1 构建可信数据流通环境</w:t>
      </w:r>
      <w:r>
        <w:rPr>
          <w:rFonts w:hint="eastAsia"/>
        </w:rPr>
        <w:tab/>
      </w:r>
      <w:r>
        <w:rPr>
          <w:rFonts w:hint="eastAsia"/>
        </w:rPr>
        <w:fldChar w:fldCharType="begin"/>
      </w:r>
      <w:r>
        <w:rPr>
          <w:rFonts w:hint="eastAsia"/>
        </w:rPr>
        <w:instrText xml:space="preserve"> </w:instrText>
      </w:r>
      <w:r>
        <w:instrText xml:space="preserve">PAGEREF _Toc214298731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60F3E2D">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"_Toc214298732" </w:instrText>
      </w:r>
      <w:r>
        <w:fldChar w:fldCharType="separate"/>
      </w:r>
      <w:r>
        <w:rPr>
          <w:rStyle w:val="22"/>
          <w:rFonts w:hint="eastAsia"/>
        </w:rPr>
        <w:t>2.2.2 保障数字金融安全</w:t>
      </w:r>
      <w:r>
        <w:rPr>
          <w:rFonts w:hint="eastAsia"/>
        </w:rPr>
        <w:tab/>
      </w:r>
      <w:r>
        <w:rPr>
          <w:rFonts w:hint="eastAsia"/>
        </w:rPr>
        <w:fldChar w:fldCharType="begin"/>
      </w:r>
      <w:r>
        <w:rPr>
          <w:rFonts w:hint="eastAsia"/>
        </w:rPr>
        <w:instrText xml:space="preserve"> </w:instrText>
      </w:r>
      <w:r>
        <w:instrText xml:space="preserve">PAGEREF _Toc214298732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1D1478C">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"_Toc214298733" </w:instrText>
      </w:r>
      <w:r>
        <w:fldChar w:fldCharType="separate"/>
      </w:r>
      <w:r>
        <w:rPr>
          <w:rStyle w:val="22"/>
          <w:rFonts w:hint="eastAsia"/>
        </w:rPr>
        <w:t>2.2.3 护航数字贸易</w:t>
      </w:r>
      <w:r>
        <w:rPr>
          <w:rFonts w:hint="eastAsia"/>
        </w:rPr>
        <w:tab/>
      </w:r>
      <w:r>
        <w:rPr>
          <w:rFonts w:hint="eastAsia"/>
        </w:rPr>
        <w:fldChar w:fldCharType="begin"/>
      </w:r>
      <w:r>
        <w:rPr>
          <w:rFonts w:hint="eastAsia"/>
        </w:rPr>
        <w:instrText xml:space="preserve"> </w:instrText>
      </w:r>
      <w:r>
        <w:instrText xml:space="preserve">PAGEREF _Toc214298733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4B2A1CD">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"_Toc214298734" </w:instrText>
      </w:r>
      <w:r>
        <w:fldChar w:fldCharType="separate"/>
      </w:r>
      <w:r>
        <w:rPr>
          <w:rStyle w:val="22"/>
          <w:rFonts w:hint="eastAsia"/>
        </w:rPr>
        <w:t>2.3 政策建议</w:t>
      </w:r>
      <w:r>
        <w:rPr>
          <w:rFonts w:hint="eastAsia"/>
        </w:rPr>
        <w:tab/>
      </w:r>
      <w:r>
        <w:rPr>
          <w:rFonts w:hint="eastAsia"/>
        </w:rPr>
        <w:fldChar w:fldCharType="begin"/>
      </w:r>
      <w:r>
        <w:rPr>
          <w:rFonts w:hint="eastAsia"/>
        </w:rPr>
        <w:instrText xml:space="preserve"> </w:instrText>
      </w:r>
      <w:r>
        <w:instrText xml:space="preserve">PAGEREF _Toc214298734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3F5E415">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"_Toc214298735" </w:instrText>
      </w:r>
      <w:r>
        <w:fldChar w:fldCharType="separate"/>
      </w:r>
      <w:r>
        <w:rPr>
          <w:rStyle w:val="22"/>
          <w:rFonts w:hint="eastAsia"/>
        </w:rPr>
        <w:t>2.3.1 制定数据要素市场安全准则与标准</w:t>
      </w:r>
      <w:r>
        <w:rPr>
          <w:rFonts w:hint="eastAsia"/>
        </w:rPr>
        <w:tab/>
      </w:r>
      <w:r>
        <w:rPr>
          <w:rFonts w:hint="eastAsia"/>
        </w:rPr>
        <w:fldChar w:fldCharType="begin"/>
      </w:r>
      <w:r>
        <w:rPr>
          <w:rFonts w:hint="eastAsia"/>
        </w:rPr>
        <w:instrText xml:space="preserve"> </w:instrText>
      </w:r>
      <w:r>
        <w:instrText xml:space="preserve">PAGEREF _Toc214298735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B3BAC5B">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"_Toc214298736" </w:instrText>
      </w:r>
      <w:r>
        <w:fldChar w:fldCharType="separate"/>
      </w:r>
      <w:r>
        <w:rPr>
          <w:rStyle w:val="22"/>
          <w:rFonts w:hint="eastAsia"/>
        </w:rPr>
        <w:t>2.3.2 建立数字经济新业态的网络安全“沙盒监管”机制</w:t>
      </w:r>
      <w:r>
        <w:rPr>
          <w:rFonts w:hint="eastAsia"/>
        </w:rPr>
        <w:tab/>
      </w:r>
      <w:r>
        <w:rPr>
          <w:rFonts w:hint="eastAsia"/>
        </w:rPr>
        <w:fldChar w:fldCharType="begin"/>
      </w:r>
      <w:r>
        <w:rPr>
          <w:rFonts w:hint="eastAsia"/>
        </w:rPr>
        <w:instrText xml:space="preserve"> </w:instrText>
      </w:r>
      <w:r>
        <w:instrText xml:space="preserve">PAGEREF _Toc214298736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B4FF7C6">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"_Toc214298737" </w:instrText>
      </w:r>
      <w:r>
        <w:fldChar w:fldCharType="separate"/>
      </w:r>
      <w:r>
        <w:rPr>
          <w:rStyle w:val="22"/>
          <w:rFonts w:hint="eastAsia"/>
        </w:rPr>
        <w:t>2.3.3 鼓励开发面向数据交易的安全技术与保险产品</w:t>
      </w:r>
      <w:r>
        <w:rPr>
          <w:rFonts w:hint="eastAsia"/>
        </w:rPr>
        <w:tab/>
      </w:r>
      <w:r>
        <w:rPr>
          <w:rFonts w:hint="eastAsia"/>
        </w:rPr>
        <w:fldChar w:fldCharType="begin"/>
      </w:r>
      <w:r>
        <w:rPr>
          <w:rFonts w:hint="eastAsia"/>
        </w:rPr>
        <w:instrText xml:space="preserve"> </w:instrText>
      </w:r>
      <w:r>
        <w:instrText xml:space="preserve">PAGEREF _Toc214298737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5E1432B">
      <w:pPr>
        <w:pStyle w:val="15"/>
        <w:tabs>
          <w:tab w:val="right" w:leader="dot" w:pos="8296"/>
        </w:tabs>
        <w:ind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"_Toc214298738" </w:instrText>
      </w:r>
      <w:r>
        <w:fldChar w:fldCharType="separate"/>
      </w:r>
      <w:r>
        <w:rPr>
          <w:rStyle w:val="22"/>
          <w:rFonts w:hint="eastAsia"/>
        </w:rPr>
        <w:t>3智慧城市治理现代化与政治安全</w:t>
      </w:r>
      <w:r>
        <w:rPr>
          <w:rFonts w:hint="eastAsia"/>
        </w:rPr>
        <w:tab/>
      </w:r>
      <w:r>
        <w:rPr>
          <w:rFonts w:hint="eastAsia"/>
        </w:rPr>
        <w:fldChar w:fldCharType="begin"/>
      </w:r>
      <w:r>
        <w:rPr>
          <w:rFonts w:hint="eastAsia"/>
        </w:rPr>
        <w:instrText xml:space="preserve"> </w:instrText>
      </w:r>
      <w:r>
        <w:instrText xml:space="preserve">PAGEREF _Toc214298738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DDA931A">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"_Toc214298739" </w:instrText>
      </w:r>
      <w:r>
        <w:fldChar w:fldCharType="separate"/>
      </w:r>
      <w:r>
        <w:rPr>
          <w:rStyle w:val="22"/>
          <w:rFonts w:hint="eastAsia"/>
        </w:rPr>
        <w:t>3.1政治与治理风险分析</w:t>
      </w:r>
      <w:r>
        <w:rPr>
          <w:rFonts w:hint="eastAsia"/>
        </w:rPr>
        <w:tab/>
      </w:r>
      <w:r>
        <w:rPr>
          <w:rFonts w:hint="eastAsia"/>
        </w:rPr>
        <w:fldChar w:fldCharType="begin"/>
      </w:r>
      <w:r>
        <w:rPr>
          <w:rFonts w:hint="eastAsia"/>
        </w:rPr>
        <w:instrText xml:space="preserve"> </w:instrText>
      </w:r>
      <w:r>
        <w:instrText xml:space="preserve">PAGEREF _Toc214298739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54A150D">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"_Toc214298740" </w:instrText>
      </w:r>
      <w:r>
        <w:fldChar w:fldCharType="separate"/>
      </w:r>
      <w:r>
        <w:rPr>
          <w:rStyle w:val="22"/>
          <w:rFonts w:hint="eastAsia"/>
        </w:rPr>
        <w:t>3.1.1关键信息基础设施安全问题</w:t>
      </w:r>
      <w:r>
        <w:rPr>
          <w:rFonts w:hint="eastAsia"/>
        </w:rPr>
        <w:tab/>
      </w:r>
      <w:r>
        <w:rPr>
          <w:rFonts w:hint="eastAsia"/>
        </w:rPr>
        <w:fldChar w:fldCharType="begin"/>
      </w:r>
      <w:r>
        <w:rPr>
          <w:rFonts w:hint="eastAsia"/>
        </w:rPr>
        <w:instrText xml:space="preserve"> </w:instrText>
      </w:r>
      <w:r>
        <w:instrText xml:space="preserve">PAGEREF _Toc214298740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6166DEF">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"_Toc214298741" </w:instrText>
      </w:r>
      <w:r>
        <w:fldChar w:fldCharType="separate"/>
      </w:r>
      <w:r>
        <w:rPr>
          <w:rStyle w:val="22"/>
          <w:rFonts w:hint="eastAsia"/>
        </w:rPr>
        <w:t>3.1.2网络渗透与意识形态安全</w:t>
      </w:r>
      <w:r>
        <w:rPr>
          <w:rFonts w:hint="eastAsia"/>
        </w:rPr>
        <w:tab/>
      </w:r>
      <w:r>
        <w:rPr>
          <w:rFonts w:hint="eastAsia"/>
        </w:rPr>
        <w:fldChar w:fldCharType="begin"/>
      </w:r>
      <w:r>
        <w:rPr>
          <w:rFonts w:hint="eastAsia"/>
        </w:rPr>
        <w:instrText xml:space="preserve"> </w:instrText>
      </w:r>
      <w:r>
        <w:instrText xml:space="preserve">PAGEREF _Toc214298741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5845E57">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"_Toc214298742" </w:instrText>
      </w:r>
      <w:r>
        <w:fldChar w:fldCharType="separate"/>
      </w:r>
      <w:r>
        <w:rPr>
          <w:rStyle w:val="22"/>
          <w:rFonts w:hint="eastAsia"/>
        </w:rPr>
        <w:t>3.1.3数据主权挑战</w:t>
      </w:r>
      <w:r>
        <w:rPr>
          <w:rFonts w:hint="eastAsia"/>
        </w:rPr>
        <w:tab/>
      </w:r>
      <w:r>
        <w:rPr>
          <w:rFonts w:hint="eastAsia"/>
        </w:rPr>
        <w:fldChar w:fldCharType="begin"/>
      </w:r>
      <w:r>
        <w:rPr>
          <w:rFonts w:hint="eastAsia"/>
        </w:rPr>
        <w:instrText xml:space="preserve"> </w:instrText>
      </w:r>
      <w:r>
        <w:instrText xml:space="preserve">PAGEREF _Toc214298742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223F464">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"_Toc214298743" </w:instrText>
      </w:r>
      <w:r>
        <w:fldChar w:fldCharType="separate"/>
      </w:r>
      <w:r>
        <w:rPr>
          <w:rStyle w:val="22"/>
          <w:rFonts w:hint="eastAsia"/>
        </w:rPr>
        <w:t>3.2安全赋能政治建设路径</w:t>
      </w:r>
      <w:r>
        <w:rPr>
          <w:rFonts w:hint="eastAsia"/>
        </w:rPr>
        <w:tab/>
      </w:r>
      <w:r>
        <w:rPr>
          <w:rFonts w:hint="eastAsia"/>
        </w:rPr>
        <w:fldChar w:fldCharType="begin"/>
      </w:r>
      <w:r>
        <w:rPr>
          <w:rFonts w:hint="eastAsia"/>
        </w:rPr>
        <w:instrText xml:space="preserve"> </w:instrText>
      </w:r>
      <w:r>
        <w:instrText xml:space="preserve">PAGEREF _Toc214298743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863706C">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"_Toc214298744" </w:instrText>
      </w:r>
      <w:r>
        <w:fldChar w:fldCharType="separate"/>
      </w:r>
      <w:r>
        <w:rPr>
          <w:rStyle w:val="22"/>
          <w:rFonts w:hint="eastAsia"/>
        </w:rPr>
        <w:t>3.2.1强化电子政务安全</w:t>
      </w:r>
      <w:r>
        <w:rPr>
          <w:rFonts w:hint="eastAsia"/>
        </w:rPr>
        <w:tab/>
      </w:r>
      <w:r>
        <w:rPr>
          <w:rFonts w:hint="eastAsia"/>
        </w:rPr>
        <w:fldChar w:fldCharType="begin"/>
      </w:r>
      <w:r>
        <w:rPr>
          <w:rFonts w:hint="eastAsia"/>
        </w:rPr>
        <w:instrText xml:space="preserve"> </w:instrText>
      </w:r>
      <w:r>
        <w:instrText xml:space="preserve">PAGEREF _Toc214298744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19DCE61C">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"_Toc214298745" </w:instrText>
      </w:r>
      <w:r>
        <w:fldChar w:fldCharType="separate"/>
      </w:r>
      <w:r>
        <w:rPr>
          <w:rStyle w:val="22"/>
          <w:rFonts w:hint="eastAsia"/>
        </w:rPr>
        <w:t>3.2.2构建网络空间命运共同体下的自主防线</w:t>
      </w:r>
      <w:r>
        <w:rPr>
          <w:rFonts w:hint="eastAsia"/>
        </w:rPr>
        <w:tab/>
      </w:r>
      <w:r>
        <w:rPr>
          <w:rFonts w:hint="eastAsia"/>
        </w:rPr>
        <w:fldChar w:fldCharType="begin"/>
      </w:r>
      <w:r>
        <w:rPr>
          <w:rFonts w:hint="eastAsia"/>
        </w:rPr>
        <w:instrText xml:space="preserve"> </w:instrText>
      </w:r>
      <w:r>
        <w:instrText xml:space="preserve">PAGEREF _Toc214298745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A7471D9">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"_Toc214298746" </w:instrText>
      </w:r>
      <w:r>
        <w:fldChar w:fldCharType="separate"/>
      </w:r>
      <w:r>
        <w:rPr>
          <w:rStyle w:val="22"/>
          <w:rFonts w:hint="eastAsia"/>
        </w:rPr>
        <w:t>3.2.3利用安全技术提升社会治理精度</w:t>
      </w:r>
      <w:r>
        <w:rPr>
          <w:rFonts w:hint="eastAsia"/>
        </w:rPr>
        <w:tab/>
      </w:r>
      <w:r>
        <w:rPr>
          <w:rFonts w:hint="eastAsia"/>
        </w:rPr>
        <w:fldChar w:fldCharType="begin"/>
      </w:r>
      <w:r>
        <w:rPr>
          <w:rFonts w:hint="eastAsia"/>
        </w:rPr>
        <w:instrText xml:space="preserve"> </w:instrText>
      </w:r>
      <w:r>
        <w:instrText xml:space="preserve">PAGEREF _Toc214298746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0407C14">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"_Toc214298747" </w:instrText>
      </w:r>
      <w:r>
        <w:fldChar w:fldCharType="separate"/>
      </w:r>
      <w:r>
        <w:rPr>
          <w:rStyle w:val="22"/>
          <w:rFonts w:hint="eastAsia"/>
        </w:rPr>
        <w:t>3.3政策建议</w:t>
      </w:r>
      <w:r>
        <w:rPr>
          <w:rFonts w:hint="eastAsia"/>
        </w:rPr>
        <w:tab/>
      </w:r>
      <w:r>
        <w:rPr>
          <w:rFonts w:hint="eastAsia"/>
        </w:rPr>
        <w:fldChar w:fldCharType="begin"/>
      </w:r>
      <w:r>
        <w:rPr>
          <w:rFonts w:hint="eastAsia"/>
        </w:rPr>
        <w:instrText xml:space="preserve"> </w:instrText>
      </w:r>
      <w:r>
        <w:instrText xml:space="preserve">PAGEREF _Toc214298747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4E4FAD5">
      <w:pPr>
        <w:pStyle w:val="15"/>
        <w:tabs>
          <w:tab w:val="right" w:leader="dot" w:pos="8296"/>
        </w:tabs>
        <w:ind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"_Toc214298748" </w:instrText>
      </w:r>
      <w:r>
        <w:fldChar w:fldCharType="separate"/>
      </w:r>
      <w:r>
        <w:rPr>
          <w:rStyle w:val="22"/>
          <w:rFonts w:hint="eastAsia"/>
        </w:rPr>
        <w:t>4 智慧城市绿色基础设施网络安全与可持续发展研究——基于新时代生态文明建设思想的审视</w:t>
      </w:r>
      <w:r>
        <w:rPr>
          <w:rFonts w:hint="eastAsia"/>
        </w:rPr>
        <w:tab/>
      </w:r>
      <w:r>
        <w:rPr>
          <w:rFonts w:hint="eastAsia"/>
        </w:rPr>
        <w:fldChar w:fldCharType="begin"/>
      </w:r>
      <w:r>
        <w:rPr>
          <w:rFonts w:hint="eastAsia"/>
        </w:rPr>
        <w:instrText xml:space="preserve"> </w:instrText>
      </w:r>
      <w:r>
        <w:instrText xml:space="preserve">PAGEREF _Toc214298748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F77A90E">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"_Toc214298749" </w:instrText>
      </w:r>
      <w:r>
        <w:fldChar w:fldCharType="separate"/>
      </w:r>
      <w:r>
        <w:rPr>
          <w:rStyle w:val="22"/>
          <w:rFonts w:hint="eastAsia"/>
        </w:rPr>
        <w:t>4.1 从“绿色困境”到“安全赋能”</w:t>
      </w:r>
      <w:r>
        <w:rPr>
          <w:rFonts w:hint="eastAsia"/>
        </w:rPr>
        <w:tab/>
      </w:r>
      <w:r>
        <w:rPr>
          <w:rFonts w:hint="eastAsia"/>
        </w:rPr>
        <w:fldChar w:fldCharType="begin"/>
      </w:r>
      <w:r>
        <w:rPr>
          <w:rFonts w:hint="eastAsia"/>
        </w:rPr>
        <w:instrText xml:space="preserve"> </w:instrText>
      </w:r>
      <w:r>
        <w:instrText xml:space="preserve">PAGEREF _Toc214298749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C9D324F">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"_Toc214298750" </w:instrText>
      </w:r>
      <w:r>
        <w:fldChar w:fldCharType="separate"/>
      </w:r>
      <w:r>
        <w:rPr>
          <w:rStyle w:val="22"/>
          <w:rFonts w:hint="eastAsia"/>
        </w:rPr>
        <w:t>4.2 新时代生态文明建设思想下的安全内涵</w:t>
      </w:r>
      <w:r>
        <w:rPr>
          <w:rFonts w:hint="eastAsia"/>
        </w:rPr>
        <w:tab/>
      </w:r>
      <w:r>
        <w:rPr>
          <w:rFonts w:hint="eastAsia"/>
        </w:rPr>
        <w:fldChar w:fldCharType="begin"/>
      </w:r>
      <w:r>
        <w:rPr>
          <w:rFonts w:hint="eastAsia"/>
        </w:rPr>
        <w:instrText xml:space="preserve"> </w:instrText>
      </w:r>
      <w:r>
        <w:instrText xml:space="preserve">PAGEREF _Toc214298750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59FF1B1">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"_Toc214298751" </w:instrText>
      </w:r>
      <w:r>
        <w:fldChar w:fldCharType="separate"/>
      </w:r>
      <w:r>
        <w:rPr>
          <w:rStyle w:val="22"/>
          <w:rFonts w:hint="eastAsia"/>
        </w:rPr>
        <w:t>4.3 绿色基础设施面临的网络安全威胁对国家生态安全的挑战</w:t>
      </w:r>
      <w:r>
        <w:rPr>
          <w:rFonts w:hint="eastAsia"/>
        </w:rPr>
        <w:tab/>
      </w:r>
      <w:r>
        <w:rPr>
          <w:rFonts w:hint="eastAsia"/>
        </w:rPr>
        <w:fldChar w:fldCharType="begin"/>
      </w:r>
      <w:r>
        <w:rPr>
          <w:rFonts w:hint="eastAsia"/>
        </w:rPr>
        <w:instrText xml:space="preserve"> </w:instrText>
      </w:r>
      <w:r>
        <w:instrText xml:space="preserve">PAGEREF _Toc214298751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407E9D8">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"_Toc214298752" </w:instrText>
      </w:r>
      <w:r>
        <w:fldChar w:fldCharType="separate"/>
      </w:r>
      <w:r>
        <w:rPr>
          <w:rStyle w:val="22"/>
          <w:rFonts w:hint="eastAsia"/>
        </w:rPr>
        <w:t>4.4 构建“绿色-安全”一体化发展范式</w:t>
      </w:r>
      <w:r>
        <w:rPr>
          <w:rFonts w:hint="eastAsia"/>
        </w:rPr>
        <w:tab/>
      </w:r>
      <w:r>
        <w:rPr>
          <w:rFonts w:hint="eastAsia"/>
        </w:rPr>
        <w:fldChar w:fldCharType="begin"/>
      </w:r>
      <w:r>
        <w:rPr>
          <w:rFonts w:hint="eastAsia"/>
        </w:rPr>
        <w:instrText xml:space="preserve"> </w:instrText>
      </w:r>
      <w:r>
        <w:instrText xml:space="preserve">PAGEREF _Toc214298752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EA2D571">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"_Toc214298753" </w:instrText>
      </w:r>
      <w:r>
        <w:fldChar w:fldCharType="separate"/>
      </w:r>
      <w:r>
        <w:rPr>
          <w:rStyle w:val="22"/>
          <w:rFonts w:hint="eastAsia"/>
        </w:rPr>
        <w:t>4.5 政策建议</w:t>
      </w:r>
      <w:r>
        <w:rPr>
          <w:rFonts w:hint="eastAsia"/>
        </w:rPr>
        <w:tab/>
      </w:r>
      <w:r>
        <w:rPr>
          <w:rFonts w:hint="eastAsia"/>
        </w:rPr>
        <w:fldChar w:fldCharType="begin"/>
      </w:r>
      <w:r>
        <w:rPr>
          <w:rFonts w:hint="eastAsia"/>
        </w:rPr>
        <w:instrText xml:space="preserve"> </w:instrText>
      </w:r>
      <w:r>
        <w:instrText xml:space="preserve">PAGEREF _Toc214298753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7E31EF3">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"_Toc214298754" </w:instrText>
      </w:r>
      <w:r>
        <w:fldChar w:fldCharType="separate"/>
      </w:r>
      <w:r>
        <w:rPr>
          <w:rStyle w:val="22"/>
          <w:rFonts w:hint="eastAsia"/>
        </w:rPr>
        <w:t>4.6 本章小结</w:t>
      </w:r>
      <w:r>
        <w:rPr>
          <w:rFonts w:hint="eastAsia"/>
        </w:rPr>
        <w:tab/>
      </w:r>
      <w:r>
        <w:rPr>
          <w:rFonts w:hint="eastAsia"/>
        </w:rPr>
        <w:fldChar w:fldCharType="begin"/>
      </w:r>
      <w:r>
        <w:rPr>
          <w:rFonts w:hint="eastAsia"/>
        </w:rPr>
        <w:instrText xml:space="preserve"> </w:instrText>
      </w:r>
      <w:r>
        <w:instrText xml:space="preserve">PAGEREF _Toc214298754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3F273462">
      <w:pPr>
        <w:pStyle w:val="15"/>
        <w:tabs>
          <w:tab w:val="right" w:leader="dot" w:pos="8296"/>
        </w:tabs>
        <w:ind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"_Toc214298755" </w:instrText>
      </w:r>
      <w:r>
        <w:fldChar w:fldCharType="separate"/>
      </w:r>
      <w:r>
        <w:rPr>
          <w:rStyle w:val="22"/>
          <w:rFonts w:hint="eastAsia"/>
        </w:rPr>
        <w:t>5 总结</w:t>
      </w:r>
      <w:r>
        <w:rPr>
          <w:rFonts w:hint="eastAsia"/>
        </w:rPr>
        <w:tab/>
      </w:r>
      <w:r>
        <w:rPr>
          <w:rFonts w:hint="eastAsia"/>
        </w:rPr>
        <w:fldChar w:fldCharType="begin"/>
      </w:r>
      <w:r>
        <w:rPr>
          <w:rFonts w:hint="eastAsia"/>
        </w:rPr>
        <w:instrText xml:space="preserve"> </w:instrText>
      </w:r>
      <w:r>
        <w:instrText xml:space="preserve">PAGEREF _Toc214298755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5E1160DA">
      <w:pPr>
        <w:pStyle w:val="15"/>
        <w:tabs>
          <w:tab w:val="right" w:leader="dot" w:pos="8296"/>
        </w:tabs>
        <w:ind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"_Toc214298756" </w:instrText>
      </w:r>
      <w:r>
        <w:fldChar w:fldCharType="separate"/>
      </w:r>
      <w:r>
        <w:rPr>
          <w:rStyle w:val="22"/>
          <w:rFonts w:hint="eastAsia"/>
        </w:rPr>
        <w:t>参考文献</w:t>
      </w:r>
      <w:r>
        <w:rPr>
          <w:rFonts w:hint="eastAsia"/>
        </w:rPr>
        <w:tab/>
      </w:r>
      <w:r>
        <w:rPr>
          <w:rFonts w:hint="eastAsia"/>
        </w:rPr>
        <w:fldChar w:fldCharType="begin"/>
      </w:r>
      <w:r>
        <w:rPr>
          <w:rFonts w:hint="eastAsia"/>
        </w:rPr>
        <w:instrText xml:space="preserve"> </w:instrText>
      </w:r>
      <w:r>
        <w:instrText xml:space="preserve">PAGEREF _Toc214298756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54EBBCA9">
      <w:pPr>
        <w:widowControl/>
        <w:spacing w:line="240" w:lineRule="auto"/>
        <w:ind w:firstLine="0" w:firstLineChars="0"/>
        <w:jc w:val="left"/>
        <w:rPr>
          <w:rFonts w:eastAsia="黑体" w:cstheme="majorBidi"/>
          <w:b/>
          <w:sz w:val="36"/>
          <w:szCs w:val="48"/>
        </w:rPr>
      </w:pPr>
      <w:r>
        <w:rPr>
          <w:rFonts w:eastAsia="黑体" w:cstheme="majorBidi"/>
          <w:b/>
          <w:sz w:val="36"/>
          <w:szCs w:val="48"/>
        </w:rPr>
        <w:fldChar w:fldCharType="end"/>
      </w:r>
    </w:p>
    <w:p w14:paraId="216FF756">
      <w:pPr>
        <w:widowControl/>
        <w:spacing w:line="240" w:lineRule="auto"/>
        <w:ind w:firstLine="0" w:firstLineChars="0"/>
        <w:jc w:val="left"/>
        <w:rPr>
          <w:rFonts w:eastAsia="黑体" w:cstheme="majorBidi"/>
          <w:b/>
          <w:sz w:val="36"/>
          <w:szCs w:val="48"/>
        </w:rPr>
      </w:pPr>
      <w:r>
        <w:rPr>
          <w:rFonts w:eastAsia="黑体" w:cstheme="majorBidi"/>
          <w:b/>
          <w:sz w:val="36"/>
          <w:szCs w:val="48"/>
        </w:rPr>
        <w:br w:type="page"/>
      </w:r>
    </w:p>
    <w:p w14:paraId="3A2EC82D">
      <w:pPr>
        <w:pStyle w:val="2"/>
      </w:pPr>
      <w:bookmarkStart w:id="2" w:name="_Toc214298724"/>
      <w:r>
        <w:rPr>
          <w:rFonts w:hint="eastAsia"/>
        </w:rPr>
        <w:t>1 引言</w:t>
      </w:r>
      <w:bookmarkEnd w:id="2"/>
    </w:p>
    <w:p w14:paraId="1F1C02B9">
      <w:pPr>
        <w:ind w:firstLine="480"/>
      </w:pPr>
      <w:r>
        <w:rPr>
          <w:rFonts w:hint="eastAsia"/>
        </w:rPr>
        <w:t>党的二十大报告明确提出，要“加快建设网络强国、数字中国”，推动城市治理体系和治理能力现代化。智慧城市作为数字中国建设的核心载体，正以前所未有的速度重塑城市运行逻辑、治理模式与公共服务体系。在数字技术的驱动下，智慧城市通过强化数据要素的运用，正在构建一种以数据驱动决策、管理及创新的新型治理范式，这显著提升了政府服务效能与决策的科学性。此进程不仅是技术层面的革新，更被视为新时代中国特色社会主义政治建设在城市治理维度的深度实践，反映了执政党运用现代科技提升治理能力、巩固执政基础的战略考量。</w:t>
      </w:r>
    </w:p>
    <w:p w14:paraId="01573193">
      <w:pPr>
        <w:ind w:firstLine="480"/>
      </w:pPr>
      <w:r>
        <w:t>然而，智慧城市在释放</w:t>
      </w:r>
      <w:r>
        <w:rPr>
          <w:rFonts w:hint="eastAsia"/>
        </w:rPr>
        <w:t>“</w:t>
      </w:r>
      <w:r>
        <w:t>数字红利</w:t>
      </w:r>
      <w:r>
        <w:rPr>
          <w:rFonts w:hint="eastAsia"/>
        </w:rPr>
        <w:t>”</w:t>
      </w:r>
      <w:r>
        <w:t>的同时，也暴露出高度依赖网络基础设施、数据资源高度集中、系统耦合性强等结构性脆弱性，使其成为网络空间安全威胁的</w:t>
      </w:r>
      <w:r>
        <w:rPr>
          <w:rFonts w:hint="eastAsia"/>
        </w:rPr>
        <w:t>“</w:t>
      </w:r>
      <w:r>
        <w:t>高价值目标</w:t>
      </w:r>
      <w:r>
        <w:rPr>
          <w:rFonts w:hint="eastAsia"/>
        </w:rPr>
        <w:t>”</w:t>
      </w:r>
      <w:r>
        <w:t>。近年来，针对关键信息基础设施的网络攻击、数据泄露事件频发，不仅造成巨大经济损失，更对国家安全、社会稳定和政治信任构成严峻挑战。</w:t>
      </w:r>
    </w:p>
    <w:p w14:paraId="00BF8272">
      <w:pPr>
        <w:ind w:firstLine="480"/>
        <w:rPr>
          <w:rFonts w:hint="eastAsia"/>
        </w:rPr>
      </w:pPr>
      <w:r>
        <w:t>智慧城市实现了物理空间与数字空间的深度融合，创造了前所未有的治理效能，但同时也催生了高度伴生的安全风险。这些风险集中显现于三个核心维度：在经济建设领域，数据泄露、关键数字基础设施被攻击、数据垄断等问题直接威胁国家经济安全；在政治建设领域，关键信息基础设施安全、网络渗透与意识形态安全、数据主权挑战等问题关乎政权安全与执政基础</w:t>
      </w:r>
      <w:r>
        <w:rPr>
          <w:rFonts w:hint="eastAsia"/>
        </w:rPr>
        <w:t>；</w:t>
      </w:r>
      <w:r>
        <w:t>在生态文明建设领域，智能电网、环境监测网络、智慧水务系统等绿色基础设施面临的网络安全威胁，可能引发环境灾难，阻碍</w:t>
      </w:r>
      <w:r>
        <w:rPr>
          <w:rFonts w:hint="eastAsia"/>
        </w:rPr>
        <w:t>“</w:t>
      </w:r>
      <w:r>
        <w:t>双碳</w:t>
      </w:r>
      <w:r>
        <w:rPr>
          <w:rFonts w:hint="eastAsia"/>
        </w:rPr>
        <w:t>”</w:t>
      </w:r>
      <w:r>
        <w:t>目标实现。</w:t>
      </w:r>
    </w:p>
    <w:p w14:paraId="4DFBED29">
      <w:pPr>
        <w:ind w:firstLine="480"/>
      </w:pPr>
      <w:r>
        <w:t>本文以</w:t>
      </w:r>
      <w:r>
        <w:rPr>
          <w:rFonts w:hint="eastAsia"/>
        </w:rPr>
        <w:t>“</w:t>
      </w:r>
      <w:r>
        <w:t>网络空间安全如何赋能智慧城市高质量发展</w:t>
      </w:r>
      <w:r>
        <w:rPr>
          <w:rFonts w:hint="eastAsia"/>
        </w:rPr>
        <w:t>”</w:t>
      </w:r>
      <w:r>
        <w:t>为核心问题，立足</w:t>
      </w:r>
      <w:r>
        <w:rPr>
          <w:rFonts w:hint="eastAsia"/>
        </w:rPr>
        <w:t>“</w:t>
      </w:r>
      <w:r>
        <w:t>五位一体</w:t>
      </w:r>
      <w:r>
        <w:rPr>
          <w:rFonts w:hint="eastAsia"/>
        </w:rPr>
        <w:t>”</w:t>
      </w:r>
      <w:r>
        <w:t>总体布局，聚焦经济、政治与生态文明三大维度，系统剖析智慧城市面临的安全风险与治理困境。研究主张，智慧城市的网络安全议题已超越传统的技术防护范畴，必须实现从被动防御向主动赋能的战略转变，将网络安全能力建设全面融入经济建设、政治建设与生态文明建设进程。本文提出</w:t>
      </w:r>
      <w:r>
        <w:rPr>
          <w:rFonts w:hint="eastAsia"/>
        </w:rPr>
        <w:t>“</w:t>
      </w:r>
      <w:r>
        <w:t>安全赋能</w:t>
      </w:r>
      <w:r>
        <w:rPr>
          <w:rFonts w:hint="eastAsia"/>
        </w:rPr>
        <w:t>”</w:t>
      </w:r>
      <w:r>
        <w:t>理念，构建</w:t>
      </w:r>
      <w:r>
        <w:rPr>
          <w:rFonts w:hint="eastAsia"/>
        </w:rPr>
        <w:t>“</w:t>
      </w:r>
      <w:r>
        <w:t>可信</w:t>
      </w:r>
      <w:r>
        <w:rPr>
          <w:rFonts w:hint="eastAsia"/>
        </w:rPr>
        <w:t>-</w:t>
      </w:r>
      <w:r>
        <w:t>自主</w:t>
      </w:r>
      <w:r>
        <w:rPr>
          <w:rFonts w:hint="eastAsia"/>
        </w:rPr>
        <w:t>-</w:t>
      </w:r>
      <w:r>
        <w:t>韧性</w:t>
      </w:r>
      <w:r>
        <w:rPr>
          <w:rFonts w:hint="eastAsia"/>
        </w:rPr>
        <w:t>”</w:t>
      </w:r>
      <w:r>
        <w:t>的安全发展路径，旨在突破</w:t>
      </w:r>
      <w:r>
        <w:rPr>
          <w:rFonts w:hint="eastAsia"/>
        </w:rPr>
        <w:t>“</w:t>
      </w:r>
      <w:r>
        <w:t>技术</w:t>
      </w:r>
      <w:r>
        <w:rPr>
          <w:rFonts w:hint="eastAsia"/>
        </w:rPr>
        <w:t>-</w:t>
      </w:r>
      <w:r>
        <w:t>治理</w:t>
      </w:r>
      <w:r>
        <w:rPr>
          <w:rFonts w:hint="eastAsia"/>
        </w:rPr>
        <w:t>”</w:t>
      </w:r>
      <w:r>
        <w:t>二元割裂的传统范式，构建一套兼顾发展与安全、融合创新与治理、服务人民与国家的智慧城市安全治理新框架，为推进中国式现代化提供坚实的数字安全保障。</w:t>
      </w:r>
    </w:p>
    <w:p w14:paraId="57AE5C09">
      <w:pPr>
        <w:widowControl/>
        <w:spacing w:line="240" w:lineRule="auto"/>
        <w:ind w:firstLine="0" w:firstLineChars="0"/>
        <w:jc w:val="left"/>
      </w:pPr>
      <w:r>
        <w:rPr>
          <w:b/>
        </w:rPr>
        <w:br w:type="page"/>
      </w:r>
    </w:p>
    <w:p w14:paraId="4CE67007">
      <w:pPr>
        <w:pStyle w:val="2"/>
      </w:pPr>
      <w:bookmarkStart w:id="3" w:name="_Toc214298725"/>
      <w:r>
        <w:rPr>
          <w:rFonts w:hint="eastAsia"/>
        </w:rPr>
        <w:t>2</w:t>
      </w:r>
      <w:bookmarkEnd w:id="3"/>
      <w:r>
        <w:rPr>
          <w:rFonts w:hint="eastAsia"/>
        </w:rPr>
        <w:t>智慧城市数据治理与经济安全研究</w:t>
      </w:r>
    </w:p>
    <w:p w14:paraId="340BDFB0">
      <w:pPr>
        <w:ind w:firstLine="480"/>
        <w:rPr>
          <w:rFonts w:hint="eastAsia" w:ascii="宋体" w:hAnsi="宋体"/>
          <w:szCs w:val="24"/>
        </w:rPr>
      </w:pPr>
      <w:r>
        <w:rPr>
          <w:rFonts w:ascii="宋体" w:hAnsi="宋体"/>
          <w:szCs w:val="24"/>
        </w:rPr>
        <w:t>数据是数字经济时代的“新石油”，其安全直接关乎国家经济命脉与智慧城市的经济效益。智慧城市作为数字经济的重要载体，通过对城市各类数据的采集、分析和应用，实现城市治理的智能化和精细化。然而，数据的广泛应用也带来了安全风险，如数据泄露、知识产权侵权、关键基础设施被攻击等问题，直接威胁国家经济安全和社会稳定。数据要素市场化配置是激发数字经济活力的关键。但数据要素的特殊性使其在市场化过程中面临诸多挑战：数据具有非竞争性和非排他性特征，容易导致市场失灵；数据安全风险高，一旦泄露可能造成巨大经济损失；数据垄断问题突出，大型平台企业利用数据优势形成垄断，抑制中小企业创新。因此，构建完善的数据要素市场化与安全治理体系，对于推动智慧城市建设、促进数字经济高质量发展具有重要意义。</w:t>
      </w:r>
    </w:p>
    <w:p w14:paraId="46912AF2">
      <w:pPr>
        <w:pStyle w:val="3"/>
      </w:pPr>
      <w:bookmarkStart w:id="4" w:name="_Toc214298726"/>
      <w:r>
        <w:t>2.</w:t>
      </w:r>
      <w:r>
        <w:rPr>
          <w:rFonts w:hint="eastAsia"/>
        </w:rPr>
        <w:t>1</w:t>
      </w:r>
      <w:r>
        <w:t>经济风险分析</w:t>
      </w:r>
      <w:bookmarkEnd w:id="4"/>
    </w:p>
    <w:p w14:paraId="4A294EBE">
      <w:pPr>
        <w:pStyle w:val="4"/>
      </w:pPr>
      <w:bookmarkStart w:id="5" w:name="_Toc214298727"/>
      <w:r>
        <w:t>2.1</w:t>
      </w:r>
      <w:r>
        <w:rPr>
          <w:rFonts w:hint="eastAsia"/>
        </w:rPr>
        <w:t>.1</w:t>
      </w:r>
      <w:r>
        <w:t xml:space="preserve"> 数据泄露与知识产权侵权风险</w:t>
      </w:r>
      <w:bookmarkEnd w:id="5"/>
    </w:p>
    <w:p w14:paraId="2DBEBE25">
      <w:pPr>
        <w:ind w:firstLine="480"/>
        <w:rPr>
          <w:rFonts w:hint="eastAsia" w:ascii="宋体" w:hAnsi="宋体"/>
          <w:szCs w:val="24"/>
        </w:rPr>
      </w:pPr>
      <w:r>
        <w:rPr>
          <w:rFonts w:ascii="宋体" w:hAnsi="宋体"/>
          <w:szCs w:val="24"/>
        </w:rPr>
        <w:t>企业核心数据和商业机密的泄露，会对市场竞争和创新能力造成严重打击。在智慧城市建设中，涉及大量企业和个人的敏感信息，包括企业研发数据、商业机密、用户隐私数据等</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_Ref214305597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[1]</w:t>
      </w:r>
      <w:r>
        <w:rPr>
          <w:rFonts w:hint="eastAsia" w:ascii="宋体" w:hAnsi="宋体"/>
          <w:b/>
          <w:bCs/>
          <w:szCs w:val="24"/>
          <w:vertAlign w:val="superscript"/>
        </w:rPr>
        <w:fldChar w:fldCharType="end"/>
      </w:r>
      <w:r>
        <w:rPr>
          <w:rFonts w:ascii="宋体" w:hAnsi="宋体"/>
          <w:szCs w:val="24"/>
        </w:rPr>
        <w:t>。一旦发生数据泄露，可能导致企业竞争优势丧失、市场份额下降，甚至被迫退出市场。数据泄露对市场竞争的冲击主要体现在：竞争对手获取核心数据后，可能快速复制产品和服务，削弱原企业的市场地位；数据泄露可能导致企业声誉受损，客户信任度下降；数据泄露可能引发法律诉讼，增加企业运营成本。此外，数据泄露还可能导致知识产权侵权，削弱企业的创新动力和核心竞争力。</w:t>
      </w:r>
    </w:p>
    <w:p w14:paraId="0991533B">
      <w:pPr>
        <w:pStyle w:val="4"/>
      </w:pPr>
      <w:bookmarkStart w:id="6" w:name="_Toc214298728"/>
      <w:r>
        <w:t>2.1.2 关键数字基础设施被攻击的经济后果</w:t>
      </w:r>
      <w:bookmarkEnd w:id="6"/>
    </w:p>
    <w:p w14:paraId="2732C458">
      <w:pPr>
        <w:ind w:firstLine="480"/>
        <w:rPr>
          <w:rFonts w:hint="eastAsia" w:ascii="宋体" w:hAnsi="宋体"/>
          <w:szCs w:val="24"/>
        </w:rPr>
      </w:pPr>
      <w:r>
        <w:rPr>
          <w:rFonts w:ascii="宋体" w:hAnsi="宋体"/>
          <w:szCs w:val="24"/>
        </w:rPr>
        <w:t>智慧城市依赖于智能金融系统、数字支付平台、供应链管理系统等关键数字基础设施的正常运行。一旦这些系统遭受攻击，可能导致市场震荡和巨额经济损失。智能金融系统被攻击的经济后果尤为严重：可能导致大量用户资金被盗，直接造成经济损失；金融系统瘫痪，影响正常的金融交易和资金流动；引发市场恐慌，导致股市、债市等金融市场剧烈波动；损害金融系统公信力，影响金融稳定。数字支付平台被攻击可能导致支付系统瘫痪，影响城市正常运转，并降低用户对数字支付的信任度。供应链管理系统</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_Ref214305639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[2]</w:t>
      </w:r>
      <w:r>
        <w:rPr>
          <w:rFonts w:hint="eastAsia" w:ascii="宋体" w:hAnsi="宋体"/>
          <w:b/>
          <w:bCs/>
          <w:szCs w:val="24"/>
          <w:vertAlign w:val="superscript"/>
        </w:rPr>
        <w:fldChar w:fldCharType="end"/>
      </w:r>
      <w:r>
        <w:rPr>
          <w:rFonts w:ascii="宋体" w:hAnsi="宋体"/>
          <w:szCs w:val="24"/>
        </w:rPr>
        <w:t>被攻击可能导致供应链信息泄露、系统瘫痪或数据被篡改，造成决策失误和经济损失。</w:t>
      </w:r>
    </w:p>
    <w:p w14:paraId="61A32980">
      <w:pPr>
        <w:pStyle w:val="4"/>
      </w:pPr>
      <w:bookmarkStart w:id="7" w:name="_Toc214298729"/>
      <w:r>
        <w:t>2.1.3 数据垄断与不正当竞争</w:t>
      </w:r>
      <w:bookmarkEnd w:id="7"/>
    </w:p>
    <w:p w14:paraId="4B7C02EB">
      <w:pPr>
        <w:ind w:firstLine="480"/>
        <w:rPr>
          <w:rFonts w:hint="eastAsia" w:ascii="宋体" w:hAnsi="宋体"/>
          <w:szCs w:val="24"/>
        </w:rPr>
      </w:pPr>
      <w:r>
        <w:rPr>
          <w:rFonts w:ascii="宋体" w:hAnsi="宋体"/>
          <w:szCs w:val="24"/>
        </w:rPr>
        <w:t>平台企业利用数据优势形成垄断</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_Ref214305648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[3]</w:t>
      </w:r>
      <w:r>
        <w:rPr>
          <w:rFonts w:hint="eastAsia" w:ascii="宋体" w:hAnsi="宋体"/>
          <w:b/>
          <w:bCs/>
          <w:szCs w:val="24"/>
          <w:vertAlign w:val="superscript"/>
        </w:rPr>
        <w:fldChar w:fldCharType="end"/>
      </w:r>
      <w:r>
        <w:rPr>
          <w:rFonts w:ascii="宋体" w:hAnsi="宋体"/>
          <w:szCs w:val="24"/>
        </w:rPr>
        <w:t>，抑制中小企业创新，影响市场公平竞争。数据垄断的表现形式主要包括：大型平台企业通过掌握大量用户数据，精准投放广告，挤压中小企业的生存空间；利用数据优势制定有利于自身的市场规则，排挤竞争对手；通过数据优势形成市场进入壁垒，抑制新企业的创新和发展。数据垄断对经济发展的负面影响主要体现在：抑制中小企业创新，降低市场活力；导致市场竞争失衡，影响资源配置效率；阻碍数据要素的市场化配置，影响数字经济发展；可能导致消费者利益受损，影响社会福利。</w:t>
      </w:r>
    </w:p>
    <w:p w14:paraId="6F88CF07">
      <w:pPr>
        <w:pStyle w:val="3"/>
      </w:pPr>
      <w:bookmarkStart w:id="8" w:name="_Toc214298730"/>
      <w:r>
        <w:rPr>
          <w:rFonts w:hint="eastAsia"/>
        </w:rPr>
        <w:t>2.2</w:t>
      </w:r>
      <w:r>
        <w:t xml:space="preserve"> 安全赋能经济发展路径</w:t>
      </w:r>
      <w:bookmarkEnd w:id="8"/>
    </w:p>
    <w:p w14:paraId="6E7B41B1">
      <w:pPr>
        <w:pStyle w:val="4"/>
      </w:pPr>
      <w:bookmarkStart w:id="9" w:name="_Toc214298731"/>
      <w:r>
        <w:rPr>
          <w:rFonts w:hint="eastAsia"/>
        </w:rPr>
        <w:t>2.2.1</w:t>
      </w:r>
      <w:r>
        <w:t xml:space="preserve"> 构建可信数据流通环境</w:t>
      </w:r>
      <w:bookmarkEnd w:id="9"/>
    </w:p>
    <w:p w14:paraId="099410C6">
      <w:pPr>
        <w:ind w:firstLine="480"/>
        <w:rPr>
          <w:rFonts w:hint="eastAsia" w:ascii="宋体" w:hAnsi="宋体"/>
          <w:szCs w:val="24"/>
        </w:rPr>
      </w:pPr>
      <w:r>
        <w:rPr>
          <w:rFonts w:ascii="宋体" w:hAnsi="宋体"/>
          <w:szCs w:val="24"/>
        </w:rPr>
        <w:t>利用区块链</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_Ref214305663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[4]</w:t>
      </w:r>
      <w:r>
        <w:rPr>
          <w:rFonts w:hint="eastAsia" w:ascii="宋体" w:hAnsi="宋体"/>
          <w:b/>
          <w:bCs/>
          <w:szCs w:val="24"/>
          <w:vertAlign w:val="superscript"/>
        </w:rPr>
        <w:fldChar w:fldCharType="end"/>
      </w:r>
      <w:r>
        <w:rPr>
          <w:rFonts w:ascii="宋体" w:hAnsi="宋体"/>
          <w:szCs w:val="24"/>
        </w:rPr>
        <w:t>、隐私计算（如联邦学习、安全多方计算）等技术，实现“数据可用不可见”，促进数据要素安全合规地市场化。区块链技术</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_Ref214305671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[5]</w:t>
      </w:r>
      <w:r>
        <w:rPr>
          <w:rFonts w:hint="eastAsia" w:ascii="宋体" w:hAnsi="宋体"/>
          <w:b/>
          <w:bCs/>
          <w:szCs w:val="24"/>
          <w:vertAlign w:val="superscript"/>
        </w:rPr>
        <w:fldChar w:fldCharType="end"/>
      </w:r>
      <w:r>
        <w:rPr>
          <w:rFonts w:ascii="宋体" w:hAnsi="宋体"/>
          <w:szCs w:val="24"/>
        </w:rPr>
        <w:t>通过去中心化和不可篡改的特性，确保数据在流通过程中的安全性和透明度。在智慧城市建设中，区块链技术可以应用于数据确权、数据溯源和数据共享。例如，</w:t>
      </w:r>
      <w:r>
        <w:rPr>
          <w:rFonts w:hint="eastAsia" w:ascii="宋体" w:hAnsi="宋体"/>
          <w:szCs w:val="24"/>
        </w:rPr>
        <w:t>北京市</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REF _Ref214305681 \r \h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[6]</w:t>
      </w:r>
      <w:r>
        <w:rPr>
          <w:rFonts w:hint="eastAsia" w:ascii="宋体" w:hAnsi="宋体"/>
          <w:b/>
          <w:bCs/>
          <w:szCs w:val="24"/>
          <w:vertAlign w:val="superscript"/>
        </w:rPr>
        <w:fldChar w:fldCharType="end"/>
      </w:r>
      <w:r>
        <w:rPr>
          <w:rFonts w:hint="eastAsia" w:ascii="宋体" w:hAnsi="宋体"/>
          <w:szCs w:val="24"/>
        </w:rPr>
        <w:t>在政务服务领域将区块链技术应用于不动产登记电子证照系统</w:t>
      </w:r>
      <w:r>
        <w:rPr>
          <w:rFonts w:ascii="宋体" w:hAnsi="宋体"/>
          <w:szCs w:val="24"/>
        </w:rPr>
        <w:t>，实现了证照信息的链上</w:t>
      </w:r>
      <w:r>
        <w:rPr>
          <w:rFonts w:hint="eastAsia" w:ascii="宋体" w:hAnsi="宋体"/>
          <w:szCs w:val="24"/>
        </w:rPr>
        <w:t>管理</w:t>
      </w:r>
      <w:r>
        <w:rPr>
          <w:rFonts w:ascii="宋体" w:hAnsi="宋体"/>
          <w:szCs w:val="24"/>
        </w:rPr>
        <w:t>、授权访问控制以及链上用证行为溯源，为证照信息的安全流通提供了保障。隐私计算技术则允许在不泄露原始数据的情况下进行数据分析，保护数据主体的隐私权。联邦学习技术通过分布式机器学习，使得多个参与方可以在不共享原始数据的情况下，共同训练机器学习模型。安全多方计算技术允许多个参与方在不泄露各自数据的情况下，共同完成计算任务。这些技术的应用可以实现“数据可用不可见”，在保护数据隐私的前提下</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_Ref214305704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[7]</w:t>
      </w:r>
      <w:r>
        <w:rPr>
          <w:rFonts w:hint="eastAsia" w:ascii="宋体" w:hAnsi="宋体"/>
          <w:b/>
          <w:bCs/>
          <w:szCs w:val="24"/>
          <w:vertAlign w:val="superscript"/>
        </w:rPr>
        <w:fldChar w:fldCharType="end"/>
      </w:r>
      <w:r>
        <w:rPr>
          <w:rFonts w:ascii="宋体" w:hAnsi="宋体"/>
          <w:szCs w:val="24"/>
        </w:rPr>
        <w:t>，实现数据的价值挖掘和利用。</w:t>
      </w:r>
    </w:p>
    <w:p w14:paraId="10543DF2">
      <w:pPr>
        <w:pStyle w:val="4"/>
      </w:pPr>
      <w:bookmarkStart w:id="10" w:name="_Toc214298732"/>
      <w:r>
        <w:rPr>
          <w:rFonts w:hint="eastAsia"/>
        </w:rPr>
        <w:t>2.2.</w:t>
      </w:r>
      <w:r>
        <w:t>2 保障数字金融安全</w:t>
      </w:r>
      <w:bookmarkEnd w:id="10"/>
    </w:p>
    <w:p w14:paraId="0AD9215E">
      <w:pPr>
        <w:ind w:firstLine="480"/>
        <w:rPr>
          <w:rFonts w:hint="eastAsia" w:ascii="宋体" w:hAnsi="宋体"/>
          <w:szCs w:val="24"/>
        </w:rPr>
      </w:pPr>
      <w:r>
        <w:rPr>
          <w:rFonts w:ascii="宋体" w:hAnsi="宋体"/>
          <w:szCs w:val="24"/>
        </w:rPr>
        <w:t>在金融科技领域，网络安全防护至关重要。通过加强金融系统的安全防护措施，如多重身份验证、实时监控和异常检测等，守护公民的数字资产与国家金融稳定。保障数字金融安全</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_Ref214305716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[8]</w:t>
      </w:r>
      <w:r>
        <w:rPr>
          <w:rFonts w:hint="eastAsia" w:ascii="宋体" w:hAnsi="宋体"/>
          <w:b/>
          <w:bCs/>
          <w:szCs w:val="24"/>
          <w:vertAlign w:val="superscript"/>
        </w:rPr>
        <w:fldChar w:fldCharType="end"/>
      </w:r>
      <w:r>
        <w:rPr>
          <w:rFonts w:ascii="宋体" w:hAnsi="宋体"/>
          <w:szCs w:val="24"/>
        </w:rPr>
        <w:t>的路径主要包括：加强金融系统的安全防护，采用先进的加密技术和风险控制手段，防范金融欺诈和网络攻击；建立金融安全应急响应机制，提高对网络攻击的快速反应能力；加强金融监管，建立完善的金融安全监管体系，确保金融系统的安全稳定运行。例如，智慧城市建设中，企业数字化平台数据接入政府数字管理平台，实现了“政企联动”“一网统管”模式，为数字金融安全提供了新的路径。此外，还可以通过人工智能技术实现金融风险的智能识别和预警，通过机器学习技术识别异常交易行为，及时发现金融欺诈和网络攻击。</w:t>
      </w:r>
    </w:p>
    <w:p w14:paraId="46E1CC52">
      <w:pPr>
        <w:pStyle w:val="4"/>
      </w:pPr>
      <w:bookmarkStart w:id="11" w:name="_Toc214298733"/>
      <w:r>
        <w:rPr>
          <w:rFonts w:hint="eastAsia"/>
        </w:rPr>
        <w:t>2.2.</w:t>
      </w:r>
      <w:r>
        <w:t>3 护航数字贸易</w:t>
      </w:r>
      <w:bookmarkEnd w:id="11"/>
    </w:p>
    <w:p w14:paraId="5F682FF7">
      <w:pPr>
        <w:ind w:firstLine="480"/>
        <w:rPr>
          <w:rFonts w:hint="eastAsia" w:ascii="宋体" w:hAnsi="宋体"/>
          <w:szCs w:val="24"/>
        </w:rPr>
      </w:pPr>
      <w:r>
        <w:rPr>
          <w:rFonts w:ascii="宋体" w:hAnsi="宋体"/>
          <w:szCs w:val="24"/>
        </w:rPr>
        <w:t>跨境数据流动是数字贸易的重要组成部分。研究并建立跨境数据流动的安全管理机制，确保数据在国际间的安全传输和合法使用，服务于更高水平的对外开放。护航数字贸易的路径主要包括：制定跨境数据传输协议，明确跨境数据传输的安全要求和标准；建立数据安全评估体系，对跨境数据传输进行安全评估，确保数据的安全性；加强国际合作，共同应对数据安全挑战，建立全球数据安全治理体系。可以通过数据加密技术对跨境传输的数据进行加密，确保数据在传输过程中的安全性；通过区块链技术记录跨境数据流动的过程，确保数据的可追溯性。同时，需要平衡安全与开放的关系，建立既保障安全又促进开放的数据流动管理机制。</w:t>
      </w:r>
    </w:p>
    <w:p w14:paraId="3B051031">
      <w:pPr>
        <w:pStyle w:val="3"/>
      </w:pPr>
      <w:bookmarkStart w:id="12" w:name="_Toc214298734"/>
      <w:r>
        <w:rPr>
          <w:rFonts w:hint="eastAsia"/>
        </w:rPr>
        <w:t>2.3</w:t>
      </w:r>
      <w:r>
        <w:t xml:space="preserve"> 政策建议</w:t>
      </w:r>
      <w:bookmarkEnd w:id="12"/>
    </w:p>
    <w:p w14:paraId="4C4AEC23">
      <w:pPr>
        <w:pStyle w:val="4"/>
      </w:pPr>
      <w:bookmarkStart w:id="13" w:name="_Toc214298735"/>
      <w:r>
        <w:rPr>
          <w:rFonts w:hint="eastAsia"/>
        </w:rPr>
        <w:t>2.3</w:t>
      </w:r>
      <w:r>
        <w:t>.1 制定数据要素市场安全准则与标准</w:t>
      </w:r>
      <w:bookmarkEnd w:id="13"/>
    </w:p>
    <w:p w14:paraId="7151C75D">
      <w:pPr>
        <w:ind w:firstLine="480"/>
        <w:rPr>
          <w:rFonts w:hint="eastAsia" w:ascii="宋体" w:hAnsi="宋体"/>
          <w:szCs w:val="24"/>
        </w:rPr>
      </w:pPr>
      <w:r>
        <w:rPr>
          <w:rFonts w:ascii="宋体" w:hAnsi="宋体"/>
          <w:szCs w:val="24"/>
        </w:rPr>
        <w:t>政府应牵头制定数据要素市场的安全准则和标准</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_Ref214305730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[9]</w:t>
      </w:r>
      <w:r>
        <w:rPr>
          <w:rFonts w:hint="eastAsia" w:ascii="宋体" w:hAnsi="宋体"/>
          <w:b/>
          <w:bCs/>
          <w:szCs w:val="24"/>
          <w:vertAlign w:val="superscript"/>
        </w:rPr>
        <w:fldChar w:fldCharType="end"/>
      </w:r>
      <w:r>
        <w:rPr>
          <w:rFonts w:ascii="宋体" w:hAnsi="宋体"/>
          <w:szCs w:val="24"/>
        </w:rPr>
        <w:t>，明确数据采集、存储、传输、使用等各环节的安全要求，为数据市场化提供制度保障。数据要素市场安全准则与标准的制定，需要遵循与国际接轨、兼顾安全与发展、分类分级管理、动态调整等原则。数据要素市场安全准则与标准应包括：数据采集安全标准、数据存储安全标准、数据传输安全标准、数据使用安全标准、数据销毁安全标准。例如，可以制定《数据要素市场安全管理办法》，明确数据要素市场的安全要求和管理措施；可以建立数据安全认证体系，对符合安全要求的数据产品和服务进行认证。</w:t>
      </w:r>
    </w:p>
    <w:p w14:paraId="695A3404">
      <w:pPr>
        <w:pStyle w:val="4"/>
      </w:pPr>
      <w:bookmarkStart w:id="14" w:name="_Toc214298736"/>
      <w:r>
        <w:rPr>
          <w:rFonts w:hint="eastAsia"/>
        </w:rPr>
        <w:t>2.3</w:t>
      </w:r>
      <w:r>
        <w:t>.2 建立数字经济新业态的网络安全“沙盒监管”机制</w:t>
      </w:r>
      <w:bookmarkEnd w:id="14"/>
    </w:p>
    <w:p w14:paraId="448A79C2">
      <w:pPr>
        <w:ind w:firstLine="480"/>
        <w:rPr>
          <w:rFonts w:hint="eastAsia" w:ascii="宋体" w:hAnsi="宋体"/>
          <w:szCs w:val="24"/>
        </w:rPr>
      </w:pPr>
      <w:r>
        <w:rPr>
          <w:rFonts w:ascii="宋体" w:hAnsi="宋体"/>
          <w:szCs w:val="24"/>
        </w:rPr>
        <w:t>针对数字经济新业态，建立网络安全“沙盒监管”机制，通过在受控环境中测试新技术和新业务模式，评估其安全性和合规性，降低对整个市场的潜在风险。“沙盒监管”机制应包括：准入机制，明确进入沙盒的条件和程序；测试机制，明确测试的内容和要求；监管机制，明确监管的方式和措施；退出机制，明确退出沙盒的条件和程序。例如，可以建立数据交易沙盒、隐私计算沙盒、区块链应用沙盒等，允许企业在受控环境中测试新技术和新业务模式。</w:t>
      </w:r>
    </w:p>
    <w:p w14:paraId="0F6DEE6E">
      <w:pPr>
        <w:pStyle w:val="4"/>
      </w:pPr>
      <w:bookmarkStart w:id="15" w:name="_Toc214298737"/>
      <w:r>
        <w:rPr>
          <w:rFonts w:hint="eastAsia"/>
        </w:rPr>
        <w:t>2.3</w:t>
      </w:r>
      <w:r>
        <w:t>.3 鼓励开发面向数据交易的安全技术与保险产品</w:t>
      </w:r>
      <w:bookmarkEnd w:id="15"/>
    </w:p>
    <w:p w14:paraId="6087A2C5">
      <w:pPr>
        <w:ind w:firstLine="480"/>
        <w:rPr>
          <w:rFonts w:hint="eastAsia" w:ascii="宋体" w:hAnsi="宋体"/>
          <w:szCs w:val="24"/>
        </w:rPr>
      </w:pPr>
      <w:r>
        <w:rPr>
          <w:rFonts w:ascii="宋体" w:hAnsi="宋体"/>
          <w:szCs w:val="24"/>
        </w:rPr>
        <w:t>政府应鼓励企业和科研机构开发面向数据交易的安全技术</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_Ref214305740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[10]</w:t>
      </w:r>
      <w:r>
        <w:rPr>
          <w:rFonts w:hint="eastAsia" w:ascii="宋体" w:hAnsi="宋体"/>
          <w:b/>
          <w:bCs/>
          <w:szCs w:val="24"/>
          <w:vertAlign w:val="superscript"/>
        </w:rPr>
        <w:fldChar w:fldCharType="end"/>
      </w:r>
      <w:r>
        <w:rPr>
          <w:rFonts w:ascii="宋体" w:hAnsi="宋体"/>
          <w:szCs w:val="24"/>
        </w:rPr>
        <w:t>，如数据加密、匿名化处理等。同时，推动保险公司推出数据安全保险产品，为数据交易提供风险保障，增强市场信心。数据交易安全技术应包括：数据加密技术、数据匿名化技术、数据脱敏技术、数据溯源技术、数据审计技术。数据安全保险产品应包括：数据泄露保险、数据安全责任保险、数据交易保险。例如，可以推出数据泄露保险，为企业数据泄露造成的损失提供保险；可以推出数据交易保险，为数据交易的风险提供保险</w:t>
      </w:r>
      <w:r>
        <w:rPr>
          <w:rFonts w:hint="eastAsia" w:ascii="宋体" w:hAnsi="宋体"/>
          <w:szCs w:val="24"/>
        </w:rPr>
        <w:t>。</w:t>
      </w:r>
      <w:r>
        <w:br w:type="textWrapping"/>
      </w:r>
      <w:r>
        <w:br w:type="textWrapping"/>
      </w:r>
      <w:r>
        <w:br w:type="textWrapping"/>
      </w:r>
    </w:p>
    <w:p w14:paraId="10766827">
      <w:pPr>
        <w:widowControl/>
        <w:ind w:firstLine="480"/>
        <w:jc w:val="left"/>
        <w:rPr>
          <w:rFonts w:eastAsia="黑体" w:cstheme="majorBidi"/>
          <w:sz w:val="36"/>
          <w:szCs w:val="48"/>
        </w:rPr>
      </w:pPr>
      <w:r>
        <w:br w:type="page"/>
      </w:r>
    </w:p>
    <w:p w14:paraId="5C39434E">
      <w:pPr>
        <w:pStyle w:val="2"/>
      </w:pPr>
      <w:bookmarkStart w:id="16" w:name="_Toc214298738"/>
      <w:r>
        <w:rPr>
          <w:rFonts w:hint="eastAsia"/>
        </w:rPr>
        <w:t>3</w:t>
      </w:r>
      <w:bookmarkEnd w:id="16"/>
      <w:r>
        <w:rPr>
          <w:rFonts w:hint="eastAsia"/>
        </w:rPr>
        <w:t>智慧城市现代治理与政治安全研究</w:t>
      </w:r>
    </w:p>
    <w:p w14:paraId="1BD7FDF3">
      <w:pPr>
        <w:ind w:firstLine="480"/>
        <w:rPr>
          <w:rFonts w:cs="Times New Roman"/>
          <w:szCs w:val="24"/>
        </w:rPr>
      </w:pPr>
      <w:r>
        <w:rPr>
          <w:rFonts w:hint="eastAsia" w:cs="Times New Roman"/>
          <w:szCs w:val="24"/>
        </w:rPr>
        <w:t>智慧城市建设是推进国家治理体系和治理能力现代化的重要战略平台。习近平总书记强调，要“加快智慧城市建设步伐，构建城市运行和治理智能中枢”</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_Ref22278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[11]</w:t>
      </w:r>
      <w:r>
        <w:rPr>
          <w:rFonts w:hint="eastAsia" w:cs="Times New Roman"/>
          <w:szCs w:val="24"/>
          <w:vertAlign w:val="superscript"/>
          <w:lang w:eastAsia="zh-CN"/>
        </w:rPr>
        <w:fldChar w:fldCharType="end"/>
      </w:r>
      <w:r>
        <w:rPr>
          <w:rFonts w:hint="eastAsia" w:cs="Times New Roman"/>
          <w:szCs w:val="24"/>
        </w:rPr>
        <w:t>。</w:t>
      </w:r>
      <w:r>
        <w:rPr>
          <w:rFonts w:ascii="宋体" w:hAnsi="宋体" w:cs="宋体"/>
          <w:szCs w:val="24"/>
        </w:rPr>
        <w:t>在数字技术的驱动下，智慧城市通过强化数据要素的运用，正在构建一种以数据驱动决策、管理及创新的新型治理范式，这显著提升了政府服务效能与决策的科学性。此进程不仅是技术层面的革新，更被视为新时代中国特色社会主义政治建设在城市治理维度的深度实践，反映了执政党运用现代科技提升治理能力、巩固执政基础的战略考量。</w:t>
      </w:r>
    </w:p>
    <w:p w14:paraId="48361B5C">
      <w:pPr>
        <w:ind w:firstLine="480"/>
        <w:rPr>
          <w:rFonts w:cs="Times New Roman"/>
          <w:szCs w:val="24"/>
        </w:rPr>
      </w:pPr>
      <w:r>
        <w:rPr>
          <w:rFonts w:hint="eastAsia" w:cs="Times New Roman"/>
          <w:szCs w:val="24"/>
        </w:rPr>
        <w:t>然而，智慧城市固有的高度数字化、网络化与智能化特征，使其在作为治理现代化关键驱动力的同时，也构成了国家安全风险的显著倍增器。智慧系统所呈现的内在脆弱性、数据的高度集中性以及网络的开放性，使其易于成为外部敌对势力实施渗透、攻击与窃密的高价值目标。</w:t>
      </w:r>
    </w:p>
    <w:p w14:paraId="5EC46838">
      <w:pPr>
        <w:ind w:firstLine="480"/>
        <w:rPr>
          <w:rFonts w:cs="Times New Roman"/>
          <w:szCs w:val="24"/>
        </w:rPr>
      </w:pPr>
      <w:r>
        <w:rPr>
          <w:rFonts w:hint="eastAsia" w:cs="Times New Roman"/>
          <w:szCs w:val="24"/>
        </w:rPr>
        <w:t>本研究主张，智慧城市的网络安全议题已超越传统的技术防护范畴，演变为关乎政治安全、意识形态安全与政权安全的数字领域前沿阵地。因此，本章的核心旨趣在于，深入剖析智慧城市在政治建设维度所面临的核心风险，并立足于巩固党的执政基础这一根本出发点，探究以网络安全保障并强化政治建设的实现路径。</w:t>
      </w:r>
    </w:p>
    <w:p w14:paraId="2FDF1758">
      <w:pPr>
        <w:ind w:firstLine="480"/>
        <w:rPr>
          <w:rFonts w:cs="Times New Roman"/>
          <w:szCs w:val="24"/>
        </w:rPr>
      </w:pPr>
      <w:r>
        <w:rPr>
          <w:rFonts w:hint="eastAsia" w:cs="Times New Roman"/>
          <w:szCs w:val="24"/>
        </w:rPr>
        <w:t>智慧城市实现了物理空间与数字空间的深度融合，创造了前所未有的治理效能，但同时也催生了高度伴生的政治及治理风险。这些风险集中显现于关键信息基础设施（CII）安全、网络意识形态管控和数据主权维护三个核心维度。</w:t>
      </w:r>
    </w:p>
    <w:p w14:paraId="1C8F4D22">
      <w:pPr>
        <w:pStyle w:val="3"/>
      </w:pPr>
      <w:bookmarkStart w:id="17" w:name="_Toc214298739"/>
      <w:r>
        <w:t>3.1政治与治理风险分析</w:t>
      </w:r>
      <w:bookmarkEnd w:id="17"/>
    </w:p>
    <w:p w14:paraId="408ED3BD">
      <w:pPr>
        <w:ind w:firstLine="480"/>
        <w:rPr>
          <w:rFonts w:cs="Times New Roman"/>
          <w:szCs w:val="24"/>
        </w:rPr>
      </w:pPr>
      <w:r>
        <w:rPr>
          <w:rFonts w:hint="eastAsia" w:cs="Times New Roman"/>
          <w:szCs w:val="24"/>
        </w:rPr>
        <w:t>智慧城市在实现物理空间与数字空间深度融合、创造显著治理效能的同时，亦引致了高度伴生的政治与治理风险。此等风险集中显现于关键信息基础设施（CII）、网络意识形态及数据主权三个核心维度。</w:t>
      </w:r>
    </w:p>
    <w:p w14:paraId="425DD0F4">
      <w:pPr>
        <w:pStyle w:val="4"/>
      </w:pPr>
      <w:bookmarkStart w:id="18" w:name="_Toc214298740"/>
      <w:r>
        <w:rPr>
          <w:rFonts w:hint="eastAsia"/>
        </w:rPr>
        <w:t>3.1.1关键信息基础设施安全问题</w:t>
      </w:r>
      <w:bookmarkEnd w:id="18"/>
    </w:p>
    <w:p w14:paraId="2425EB92">
      <w:pPr>
        <w:ind w:firstLine="480"/>
        <w:rPr>
          <w:rFonts w:cs="Times New Roman"/>
          <w:szCs w:val="24"/>
        </w:rPr>
      </w:pPr>
      <w:r>
        <w:rPr>
          <w:rFonts w:hint="eastAsia" w:cs="Times New Roman"/>
          <w:szCs w:val="24"/>
        </w:rPr>
        <w:t>智慧城市的运行高度依赖于一个复杂的CII生态系统，包括政府办公系统、应急指挥系统、公共通信网络、能源与交通调度系统。等</w:t>
      </w:r>
      <w:r>
        <w:rPr>
          <w:rFonts w:ascii="宋体" w:hAnsi="宋体" w:cs="宋体"/>
          <w:szCs w:val="24"/>
        </w:rPr>
        <w:t>这些设施可视为国家治理能力在数字空间的延伸，其一旦遭受攻击，后果将极其严重</w:t>
      </w:r>
      <w:r>
        <w:rPr>
          <w:rFonts w:hint="eastAsia" w:cs="Times New Roman"/>
          <w:szCs w:val="24"/>
        </w:rPr>
        <w:t>。</w:t>
      </w:r>
    </w:p>
    <w:p w14:paraId="5DCB0C17">
      <w:pPr>
        <w:ind w:firstLine="480"/>
        <w:rPr>
          <w:rFonts w:cs="Times New Roman"/>
          <w:szCs w:val="24"/>
        </w:rPr>
      </w:pPr>
      <w:r>
        <w:rPr>
          <w:rFonts w:hint="eastAsia" w:cs="Times New Roman"/>
          <w:szCs w:val="24"/>
        </w:rPr>
        <w:t>首先，针对CII的攻击可直接导致治理瘫痪或失效。以2021年美国Colonial Pipeline事件为例，其工控系统遭勒索软件攻击，致使关键管道运营中断及大量数据被窃</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_Ref22679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[12]</w:t>
      </w:r>
      <w:r>
        <w:rPr>
          <w:rFonts w:hint="eastAsia" w:cs="Times New Roman"/>
          <w:szCs w:val="24"/>
          <w:vertAlign w:val="superscript"/>
          <w:lang w:eastAsia="zh-CN"/>
        </w:rPr>
        <w:fldChar w:fldCharType="end"/>
      </w:r>
      <w:r>
        <w:rPr>
          <w:rFonts w:hint="eastAsia" w:cs="Times New Roman"/>
          <w:szCs w:val="24"/>
        </w:rPr>
        <w:t>。此类攻击若发生在政府决策或应急指挥中枢，将可能引致决策链中断与响应失效，在重大突发事件中诱发社会秩序紊乱。其次，针对医疗、电力、通信等民生CII的攻击，亦将直接冲击社会稳定，损害政府公信力与公众安全感。</w:t>
      </w:r>
    </w:p>
    <w:p w14:paraId="519BB635">
      <w:pPr>
        <w:ind w:firstLine="480"/>
        <w:rPr>
          <w:rFonts w:cs="Times New Roman"/>
          <w:szCs w:val="24"/>
        </w:rPr>
      </w:pPr>
      <w:r>
        <w:rPr>
          <w:rFonts w:hint="eastAsia" w:cs="Times New Roman"/>
          <w:szCs w:val="24"/>
        </w:rPr>
        <w:t>更深层次的风险源于供应链安全。网络产品集成度提升与供应链全球化，使得智慧城市CII在底层技术、核心组件及软件系统上可能存在对外依赖。在地缘政治冲突背景下，此类供应链脆弱性或可导致系统性、全局性瘫痪。因此，CII的自主可控已超越单纯的经济或产业议题，上升为重大的政治安全问题。</w:t>
      </w:r>
    </w:p>
    <w:p w14:paraId="5DA9DFA7">
      <w:pPr>
        <w:pStyle w:val="4"/>
      </w:pPr>
      <w:bookmarkStart w:id="19" w:name="_Toc214298741"/>
      <w:r>
        <w:rPr>
          <w:rFonts w:hint="eastAsia"/>
        </w:rPr>
        <w:t>3.1.2网络渗透与意识形态安全</w:t>
      </w:r>
      <w:bookmarkEnd w:id="19"/>
    </w:p>
    <w:p w14:paraId="58F5DFAF">
      <w:pPr>
        <w:ind w:firstLine="480"/>
        <w:rPr>
          <w:rFonts w:cs="Times New Roman"/>
          <w:szCs w:val="24"/>
        </w:rPr>
      </w:pPr>
      <w:r>
        <w:rPr>
          <w:rFonts w:hint="eastAsia" w:cs="Times New Roman"/>
          <w:szCs w:val="24"/>
        </w:rPr>
        <w:t>智慧城市便捷的信息传播网络，在服务民生的同时，也为意识形态渗透提供了便利条件。外部势力可利用智慧城市的开放性，通过社交媒体、公共服务平台等渠道，进行隐蔽的思想渗透、传播虚假信息、煽动社会对立，对意识形态安全与社会稳定构成威胁。</w:t>
      </w:r>
    </w:p>
    <w:p w14:paraId="6B932A7E">
      <w:pPr>
        <w:ind w:firstLine="480"/>
        <w:rPr>
          <w:rFonts w:cs="Times New Roman"/>
          <w:szCs w:val="24"/>
        </w:rPr>
      </w:pPr>
      <w:r>
        <w:rPr>
          <w:rFonts w:hint="eastAsia" w:cs="Times New Roman"/>
          <w:szCs w:val="24"/>
        </w:rPr>
        <w:t>数字化时代的突发事件网络舆情呈现出高度复杂性与不可预测性，传统的纵向事后处置模式已难有效应对。特别是AIGC（生成式人工智能）技术的兴起，推动意识形态博弈进入智能化阶段。AIGC可被用于生成具有专业性、权威性乃至情感迷惑性的虚拟信息源</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_Ref22807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[13]</w:t>
      </w:r>
      <w:r>
        <w:rPr>
          <w:rFonts w:hint="eastAsia" w:cs="Times New Roman"/>
          <w:szCs w:val="24"/>
          <w:vertAlign w:val="superscript"/>
          <w:lang w:eastAsia="zh-CN"/>
        </w:rPr>
        <w:fldChar w:fldCharType="end"/>
      </w:r>
      <w:r>
        <w:rPr>
          <w:rFonts w:hint="eastAsia" w:cs="Times New Roman"/>
          <w:szCs w:val="24"/>
        </w:rPr>
        <w:t>。敌对势力可利用该技术，低成本、高效率地大规模制造和传播高度仿真的虚假信息与煽动性话语，其隐蔽性、迷惑性与影响力远超传统模式。这对现有的舆情监测与引导机制构成了非对称挑战，是意识形态安全领域值得高度警惕的新变量。</w:t>
      </w:r>
    </w:p>
    <w:p w14:paraId="07D20F86">
      <w:pPr>
        <w:pStyle w:val="4"/>
      </w:pPr>
      <w:bookmarkStart w:id="20" w:name="_Toc214298742"/>
      <w:r>
        <w:rPr>
          <w:rFonts w:hint="eastAsia"/>
        </w:rPr>
        <w:t>3.1.3数据主权挑战</w:t>
      </w:r>
      <w:bookmarkEnd w:id="20"/>
    </w:p>
    <w:p w14:paraId="20AA42F3">
      <w:pPr>
        <w:ind w:firstLine="480"/>
        <w:rPr>
          <w:rFonts w:cs="Times New Roman"/>
          <w:szCs w:val="24"/>
        </w:rPr>
      </w:pPr>
      <w:r>
        <w:rPr>
          <w:rFonts w:hint="eastAsia" w:cs="Times New Roman"/>
          <w:szCs w:val="24"/>
        </w:rPr>
        <w:t>数据是数字时代的关键战略资源，亦是国家治理的核心资产。相关研究明确指出，数据主权（Data Sovereignty）已事关国家总体安全</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_Ref22921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[14]</w:t>
      </w:r>
      <w:r>
        <w:rPr>
          <w:rFonts w:hint="eastAsia" w:cs="Times New Roman"/>
          <w:szCs w:val="24"/>
          <w:vertAlign w:val="superscript"/>
          <w:lang w:eastAsia="zh-CN"/>
        </w:rPr>
        <w:fldChar w:fldCharType="end"/>
      </w:r>
      <w:r>
        <w:rPr>
          <w:rFonts w:hint="eastAsia" w:cs="Times New Roman"/>
          <w:szCs w:val="24"/>
        </w:rPr>
        <w:t>。智慧城市作为海量政务、民生、经济及地理空间数据的汇聚节点，其数据若通过云服务、物联网等途径被境外势力窃取，将产生严重的政治与军事后果。</w:t>
      </w:r>
    </w:p>
    <w:p w14:paraId="3ED731C1">
      <w:pPr>
        <w:ind w:firstLine="480"/>
        <w:rPr>
          <w:rFonts w:cs="Times New Roman"/>
          <w:szCs w:val="24"/>
        </w:rPr>
      </w:pPr>
      <w:r>
        <w:rPr>
          <w:rFonts w:hint="eastAsia" w:cs="Times New Roman"/>
          <w:szCs w:val="24"/>
        </w:rPr>
        <w:t>历史与现实案例表明，数据不仅具有经济价值，更可用于心理对抗（如策反）与军事目标识别（如特定软件暴露军事基地）。随着智慧城市建设迈向数字孪生与CIM（城市信息模型）阶段，城市物理、时空、业务等全要素正被精准映射至数字空间</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_Ref23012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[15]</w:t>
      </w:r>
      <w:r>
        <w:rPr>
          <w:rFonts w:hint="eastAsia" w:cs="Times New Roman"/>
          <w:szCs w:val="24"/>
          <w:vertAlign w:val="superscript"/>
          <w:lang w:eastAsia="zh-CN"/>
        </w:rPr>
        <w:fldChar w:fldCharType="end"/>
      </w:r>
      <w:r>
        <w:rPr>
          <w:rFonts w:hint="eastAsia" w:cs="Times New Roman"/>
          <w:szCs w:val="24"/>
        </w:rPr>
        <w:t>。若此承载城市运行逻辑的数字孪生体被对手掌握，其不仅能感知城市状态，更能进行仿真推演，如模拟CII攻击路径、推演社会秩序扰动方案，或在战时对国防动员能力实施精准打击。因此，捍卫智慧城市的数据主权，实质是捍卫国家在数字空间的主权，是政治安全的基石。</w:t>
      </w:r>
    </w:p>
    <w:p w14:paraId="609C8BE8">
      <w:pPr>
        <w:pStyle w:val="3"/>
      </w:pPr>
      <w:bookmarkStart w:id="21" w:name="_Toc214298743"/>
      <w:r>
        <w:t>3.2安全赋能政治建设路径</w:t>
      </w:r>
      <w:bookmarkEnd w:id="21"/>
    </w:p>
    <w:p w14:paraId="70B03877">
      <w:pPr>
        <w:ind w:firstLine="480"/>
        <w:rPr>
          <w:rFonts w:cs="Times New Roman"/>
          <w:szCs w:val="24"/>
        </w:rPr>
      </w:pPr>
      <w:r>
        <w:rPr>
          <w:rFonts w:hint="eastAsia" w:cs="Times New Roman"/>
          <w:szCs w:val="24"/>
        </w:rPr>
        <w:t>面对智慧城市带来的严峻政治安全挑战，亟需实现从被动防御向主动赋能的战略转变，将网络安全能力建设全面融入政治建设进程，以高水平安全保障高质量治理，从而巩固数字时代的执政基础。</w:t>
      </w:r>
    </w:p>
    <w:p w14:paraId="337330BB">
      <w:pPr>
        <w:pStyle w:val="4"/>
      </w:pPr>
      <w:bookmarkStart w:id="22" w:name="_Toc214298744"/>
      <w:r>
        <w:rPr>
          <w:rFonts w:hint="eastAsia"/>
        </w:rPr>
        <w:t>3.2.1强化电子政务安全</w:t>
      </w:r>
      <w:bookmarkEnd w:id="22"/>
    </w:p>
    <w:p w14:paraId="65214761">
      <w:pPr>
        <w:ind w:firstLine="480"/>
        <w:rPr>
          <w:rFonts w:cs="Times New Roman"/>
          <w:szCs w:val="24"/>
        </w:rPr>
      </w:pPr>
      <w:r>
        <w:rPr>
          <w:rFonts w:hint="eastAsia" w:cs="Times New Roman"/>
          <w:szCs w:val="24"/>
        </w:rPr>
        <w:t>应对CII脆弱性与供应链安全挑战，根本路径在于构建自主可控、安全可靠的政务云及政务网络。此举首要是一项政治任务，其核心是全面推进信息技术应用创新（简称“信创”）体系的国产化替代。根据相关规划，党政机关及金融、电信、电力等关键行业的国产化替代正在加速，旨在实现核心领域的全面替换。信创的本质是确保国家在数字时代对关键基础设施的控制权，是一项具有高度政治优先级的建设工程。</w:t>
      </w:r>
    </w:p>
    <w:p w14:paraId="48BC3F16">
      <w:pPr>
        <w:ind w:firstLine="480"/>
        <w:rPr>
          <w:rFonts w:cs="Times New Roman"/>
          <w:szCs w:val="24"/>
        </w:rPr>
      </w:pPr>
      <w:r>
        <w:rPr>
          <w:rFonts w:hint="eastAsia" w:cs="Times New Roman"/>
          <w:szCs w:val="24"/>
        </w:rPr>
        <w:t>在技术路径上，必须从被动防御转向主动防御，全面部署城市安全大脑</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_Ref23241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[16]</w:t>
      </w:r>
      <w:r>
        <w:rPr>
          <w:rFonts w:hint="eastAsia" w:cs="Times New Roman"/>
          <w:szCs w:val="24"/>
          <w:vertAlign w:val="superscript"/>
          <w:lang w:eastAsia="zh-CN"/>
        </w:rPr>
        <w:fldChar w:fldCharType="end"/>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_Ref23254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[17]</w:t>
      </w:r>
      <w:r>
        <w:rPr>
          <w:rFonts w:hint="eastAsia" w:cs="Times New Roman"/>
          <w:szCs w:val="24"/>
          <w:vertAlign w:val="superscript"/>
          <w:lang w:eastAsia="zh-CN"/>
        </w:rPr>
        <w:fldChar w:fldCharType="end"/>
      </w:r>
      <w:r>
        <w:rPr>
          <w:rFonts w:hint="eastAsia" w:cs="Times New Roman"/>
          <w:szCs w:val="24"/>
        </w:rPr>
        <w:t>。通过引入覆盖数据全生命周期（从采集、传输、存储到处理、销毁）的安全中枢，旨在实现立体化防护、智能化分析与可视化交互</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_Ref24560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[18]</w:t>
      </w:r>
      <w:r>
        <w:rPr>
          <w:rFonts w:hint="eastAsia" w:cs="Times New Roman"/>
          <w:szCs w:val="24"/>
          <w:vertAlign w:val="superscript"/>
          <w:lang w:eastAsia="zh-CN"/>
        </w:rPr>
        <w:fldChar w:fldCharType="end"/>
      </w:r>
      <w:r>
        <w:rPr>
          <w:rFonts w:hint="eastAsia" w:cs="Times New Roman"/>
          <w:szCs w:val="24"/>
        </w:rPr>
        <w:t xml:space="preserve">。该体系运用人工智能与大数据技术，达成全网态势感知、威胁智能研判及自动化应急响应，保障政府决策与响应在安全可靠的环境中运行。 </w:t>
      </w:r>
    </w:p>
    <w:p w14:paraId="78CD0994">
      <w:pPr>
        <w:pStyle w:val="4"/>
      </w:pPr>
      <w:bookmarkStart w:id="23" w:name="_Toc214298745"/>
      <w:r>
        <w:rPr>
          <w:rFonts w:hint="eastAsia"/>
        </w:rPr>
        <w:t>3.2.2构建网络空间命运共同体下的自主防线</w:t>
      </w:r>
      <w:bookmarkEnd w:id="23"/>
    </w:p>
    <w:p w14:paraId="1D00E005">
      <w:pPr>
        <w:ind w:firstLine="480"/>
        <w:rPr>
          <w:rFonts w:cs="Times New Roman"/>
          <w:szCs w:val="24"/>
        </w:rPr>
      </w:pPr>
      <w:r>
        <w:rPr>
          <w:rFonts w:hint="eastAsia" w:cs="Times New Roman"/>
          <w:szCs w:val="24"/>
        </w:rPr>
        <w:t>应对数据主权挑战，必须采取双轨并行的策略。对外，需积极参与全球数字治理，倡导网络空间命运共同体理念，推动《全球数据安全倡议》，在国际场域倡导主权平等与遵守国际法治的治理新秩序</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_Ref24743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[19]</w:t>
      </w:r>
      <w:r>
        <w:rPr>
          <w:rFonts w:hint="eastAsia" w:cs="Times New Roman"/>
          <w:szCs w:val="24"/>
          <w:vertAlign w:val="superscript"/>
          <w:lang w:eastAsia="zh-CN"/>
        </w:rPr>
        <w:fldChar w:fldCharType="end"/>
      </w:r>
      <w:r>
        <w:rPr>
          <w:rFonts w:hint="eastAsia" w:cs="Times New Roman"/>
          <w:szCs w:val="24"/>
        </w:rPr>
        <w:t>。</w:t>
      </w:r>
    </w:p>
    <w:p w14:paraId="459EF1DD">
      <w:pPr>
        <w:ind w:firstLine="480"/>
        <w:rPr>
          <w:rFonts w:cs="Times New Roman"/>
          <w:szCs w:val="24"/>
        </w:rPr>
      </w:pPr>
      <w:r>
        <w:rPr>
          <w:rFonts w:hint="eastAsia" w:cs="Times New Roman"/>
          <w:szCs w:val="24"/>
        </w:rPr>
        <w:t>需明确，所倡导的网络空间命运共同体，并非无国界的自由主义网络，而是以尊重网络主权为基石的有秩序的互联网。此话语体系构建了对抗数据霸权、捍卫自主治理权的政治法律框架。对内，则必须筑牢自主防线，构建数据资源安全网。数据溯源、加密、身份认证等安全技术是捍卫数据主权的关键工具，必须强化数据跨境流动的技术监管与安全审查，确保涉及国家与公共利益的核心数据不外流。</w:t>
      </w:r>
    </w:p>
    <w:p w14:paraId="7DB18126">
      <w:pPr>
        <w:pStyle w:val="4"/>
      </w:pPr>
      <w:bookmarkStart w:id="24" w:name="_Toc214298746"/>
      <w:r>
        <w:rPr>
          <w:rFonts w:hint="eastAsia"/>
        </w:rPr>
        <w:t>3.2.3利用安全技术提升社会治理精度</w:t>
      </w:r>
      <w:bookmarkEnd w:id="24"/>
    </w:p>
    <w:p w14:paraId="1DB49527">
      <w:pPr>
        <w:ind w:firstLine="480"/>
        <w:rPr>
          <w:rFonts w:cs="Times New Roman"/>
          <w:szCs w:val="24"/>
        </w:rPr>
      </w:pPr>
      <w:r>
        <w:rPr>
          <w:rFonts w:hint="eastAsia" w:cs="Times New Roman"/>
          <w:szCs w:val="24"/>
        </w:rPr>
        <w:t>应应对意识形态风险并提升治理效能，必须在安全与法治框架内，利用安全的数据分析技术强化社会治理。</w:t>
      </w:r>
    </w:p>
    <w:p w14:paraId="33CAC6DF">
      <w:pPr>
        <w:ind w:firstLine="480"/>
        <w:rPr>
          <w:rFonts w:cs="Times New Roman"/>
          <w:szCs w:val="24"/>
        </w:rPr>
      </w:pPr>
      <w:r>
        <w:rPr>
          <w:rFonts w:hint="eastAsia" w:cs="Times New Roman"/>
          <w:szCs w:val="24"/>
        </w:rPr>
        <w:t>在公共安全领域，运用视频监控、图像采集等技术预防犯罪、调控交通、应对突发事件，是提升公众安全感的必要手段。在舆情引导方面，需运用大数据与AI技术，构建数字赋能的突发事件网络舆情全周期治理体系，实现从传统事后处置向精准、动态、实时治理的转型。同时，应主动研究并运用AIGC技术，发挥其在议程设置、引导正面舆论中的作用，以掌握意识形态博弈的主动权</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_Ref24844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[20]</w:t>
      </w:r>
      <w:r>
        <w:rPr>
          <w:rFonts w:hint="eastAsia" w:cs="Times New Roman"/>
          <w:szCs w:val="24"/>
          <w:vertAlign w:val="superscript"/>
          <w:lang w:eastAsia="zh-CN"/>
        </w:rPr>
        <w:fldChar w:fldCharType="end"/>
      </w:r>
      <w:r>
        <w:rPr>
          <w:rFonts w:hint="eastAsia" w:cs="Times New Roman"/>
          <w:szCs w:val="24"/>
        </w:rPr>
        <w:t>。</w:t>
      </w:r>
    </w:p>
    <w:p w14:paraId="053C1A5A">
      <w:pPr>
        <w:ind w:firstLine="480"/>
        <w:rPr>
          <w:rFonts w:cs="Times New Roman"/>
          <w:szCs w:val="24"/>
        </w:rPr>
      </w:pPr>
      <w:r>
        <w:rPr>
          <w:rFonts w:hint="eastAsia" w:cs="Times New Roman"/>
          <w:szCs w:val="24"/>
        </w:rPr>
        <w:t>此类大规模数据采集与利用必须在法治轨道内运行</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_Ref24877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[21]</w:t>
      </w:r>
      <w:r>
        <w:rPr>
          <w:rFonts w:hint="eastAsia" w:cs="Times New Roman"/>
          <w:szCs w:val="24"/>
          <w:vertAlign w:val="superscript"/>
          <w:lang w:eastAsia="zh-CN"/>
        </w:rPr>
        <w:fldChar w:fldCharType="end"/>
      </w:r>
      <w:r>
        <w:rPr>
          <w:rFonts w:hint="eastAsia" w:cs="Times New Roman"/>
          <w:szCs w:val="24"/>
        </w:rPr>
        <w:t>。《中华人民共和国个人信息保护法》第26条提供了关键法律依据。该条款规定，在公共场所安装图像采集、个人身份识别设备，应当为维护公共安全所必需，遵守国家规定并设显著提示。此处的“公共安全”被理解为一个涵盖社会秩序与政治安全的广义概念。该条款通过设定目的限制与程序正义（如提示标识）要求，为国家基于维护公共安全和社会治理的核心政治诉求而进行必要的数据采集，提供了明确的法律授权与合法性基础。</w:t>
      </w:r>
    </w:p>
    <w:p w14:paraId="6DCBB127">
      <w:pPr>
        <w:pStyle w:val="3"/>
      </w:pPr>
      <w:bookmarkStart w:id="25" w:name="_Toc214298747"/>
      <w:r>
        <w:t>3.3政策建议</w:t>
      </w:r>
      <w:bookmarkEnd w:id="25"/>
    </w:p>
    <w:p w14:paraId="3A5829CB">
      <w:pPr>
        <w:ind w:firstLine="480"/>
        <w:rPr>
          <w:rFonts w:cs="Times New Roman"/>
          <w:szCs w:val="24"/>
        </w:rPr>
      </w:pPr>
      <w:r>
        <w:rPr>
          <w:rFonts w:hint="eastAsia" w:cs="Times New Roman"/>
          <w:szCs w:val="24"/>
        </w:rPr>
        <w:t>为确保智慧城市建设始终服务于政治建设这一核心目标，有效防范化解重大安全风险，巩固党的执政基础，特提出以下政策建议。</w:t>
      </w:r>
    </w:p>
    <w:p w14:paraId="4B7A3C63">
      <w:pPr>
        <w:pStyle w:val="4"/>
      </w:pPr>
      <w:r>
        <w:rPr>
          <w:rFonts w:hint="eastAsia"/>
        </w:rPr>
        <w:t>3.3.1 推动核心电子政务系统国产化替代</w:t>
      </w:r>
    </w:p>
    <w:p w14:paraId="1A5D991A">
      <w:pPr>
        <w:ind w:firstLine="480"/>
        <w:rPr>
          <w:rFonts w:cs="Times New Roman"/>
          <w:szCs w:val="24"/>
        </w:rPr>
      </w:pPr>
      <w:r>
        <w:rPr>
          <w:rFonts w:hint="eastAsia" w:cs="Times New Roman"/>
          <w:szCs w:val="24"/>
        </w:rPr>
        <w:t>将国产化替代作为智慧城市CII建设的强制性前置条件和核心验收指标。设立专项基金，加速推动党政机关、应急指挥、公共通信等核心系统的全面国产化，从根本上解决供应链安全这一政治安全隐患。</w:t>
      </w:r>
    </w:p>
    <w:p w14:paraId="1D32E1AF">
      <w:pPr>
        <w:pStyle w:val="4"/>
      </w:pPr>
      <w:r>
        <w:rPr>
          <w:rFonts w:hint="eastAsia"/>
        </w:rPr>
        <w:t>3.3.2 建立智慧城市舆情网络安全监测与引导机制</w:t>
      </w:r>
    </w:p>
    <w:p w14:paraId="5FC22EC1">
      <w:pPr>
        <w:ind w:firstLine="480"/>
        <w:rPr>
          <w:rFonts w:cs="Times New Roman"/>
          <w:szCs w:val="24"/>
        </w:rPr>
      </w:pPr>
      <w:r>
        <w:rPr>
          <w:rFonts w:hint="eastAsia" w:cs="Times New Roman"/>
          <w:szCs w:val="24"/>
        </w:rPr>
        <w:t>整合网信、公安、宣传、应急管理等部门力量，建立跨部门、跨层级的智慧城市舆情安全一体化作战平台。必须将AIGC 等新技术纳入监测和引导体系，研发以智能对抗智能的治理工具，确保牢牢掌握网络意识形态斗争的主动权。</w:t>
      </w:r>
    </w:p>
    <w:p w14:paraId="205F877D">
      <w:pPr>
        <w:pStyle w:val="4"/>
      </w:pPr>
      <w:r>
        <w:rPr>
          <w:rFonts w:hint="eastAsia"/>
        </w:rPr>
        <w:t>3.3.3 制定针对政府数据的全生命周期安全管理条例</w:t>
      </w:r>
    </w:p>
    <w:p w14:paraId="37887E33">
      <w:pPr>
        <w:ind w:firstLine="480"/>
        <w:rPr>
          <w:rFonts w:cs="Times New Roman"/>
          <w:szCs w:val="24"/>
        </w:rPr>
      </w:pPr>
      <w:r>
        <w:rPr>
          <w:rFonts w:hint="eastAsia" w:cs="Times New Roman"/>
          <w:szCs w:val="24"/>
        </w:rPr>
        <w:t>落实数据分级分类管理要求，针对智慧城市CIM平台、政务云所承载的核心治理数据，特别是涉及国家安全、国防动员的敏感数据，制定专门的、覆盖全生命周期的安全管理条例，严格规范数据采集、存储、使用、跨境流动和销毁流程，确保数据主权和政治安全万无一失。</w:t>
      </w:r>
    </w:p>
    <w:p w14:paraId="349D740B">
      <w:pPr>
        <w:widowControl/>
        <w:ind w:firstLine="480"/>
        <w:jc w:val="left"/>
      </w:pPr>
      <w:r>
        <w:rPr>
          <w:rFonts w:hint="eastAsia"/>
        </w:rPr>
        <w:br w:type="page"/>
      </w:r>
    </w:p>
    <w:p w14:paraId="5E336E7A">
      <w:pPr>
        <w:pStyle w:val="2"/>
      </w:pPr>
      <w:bookmarkStart w:id="26" w:name="_Toc214298748"/>
      <w:r>
        <w:t xml:space="preserve">4 </w:t>
      </w:r>
      <w:bookmarkEnd w:id="26"/>
      <w:r>
        <w:rPr>
          <w:rFonts w:hint="eastAsia"/>
        </w:rPr>
        <w:t>智慧城市绿色基建与生态安全研究</w:t>
      </w:r>
    </w:p>
    <w:p w14:paraId="0CDA2CD6">
      <w:pPr>
        <w:widowControl/>
        <w:ind w:firstLine="480"/>
        <w:jc w:val="left"/>
        <w:rPr>
          <w:rFonts w:cs="Times New Roman"/>
          <w:szCs w:val="24"/>
        </w:rPr>
      </w:pPr>
      <w:r>
        <w:rPr>
          <w:rFonts w:cs="Times New Roman"/>
          <w:szCs w:val="24"/>
        </w:rPr>
        <w:t>在新时代生态文明建设与网络强国战略融合背景下，</w:t>
      </w:r>
      <w:r>
        <w:rPr>
          <w:rFonts w:hint="eastAsia" w:cs="Times New Roman"/>
          <w:szCs w:val="24"/>
        </w:rPr>
        <w:t>应</w:t>
      </w:r>
      <w:r>
        <w:rPr>
          <w:rFonts w:cs="Times New Roman"/>
          <w:szCs w:val="24"/>
        </w:rPr>
        <w:t>将新时代中国特色社会主义生态文明建设思想的核心要义引入智慧城市绿色基础设施研究。网络安全并非外在于绿色发展的技术工具，而是保障“人与自然和谐共生”现代化目标的内在构成性要素。</w:t>
      </w:r>
    </w:p>
    <w:p w14:paraId="20B7EC7B">
      <w:pPr>
        <w:widowControl/>
        <w:ind w:firstLine="480"/>
        <w:jc w:val="left"/>
        <w:rPr>
          <w:rFonts w:cs="Times New Roman"/>
          <w:szCs w:val="24"/>
        </w:rPr>
      </w:pPr>
      <w:r>
        <w:rPr>
          <w:rFonts w:cs="Times New Roman"/>
          <w:szCs w:val="24"/>
        </w:rPr>
        <w:t>新时代中国特色社会主义生态文明建设强调“保护生态环境就是保护生产力，改善生态环境就是发展生产力”。智慧城市中的绿色基础设施是实现“绿水青山就是金山银山”理念、落实“双碳”目标的核心载体。这些系统的生态效益高度依赖于其作为复杂技术社会系统的稳定性、可靠性与安全性。若底层数字系统脆弱，不仅无法形成新生产力，还可能因网络攻击引发环境灾难，造成生产力破坏。因此，网络安全是守护“绿水青山”、转化“金山银山”的“安全阀”与“催化剂”。</w:t>
      </w:r>
    </w:p>
    <w:p w14:paraId="21F01E1F">
      <w:pPr>
        <w:widowControl/>
        <w:ind w:firstLine="480"/>
        <w:jc w:val="left"/>
        <w:rPr>
          <w:rFonts w:cs="Times New Roman"/>
          <w:szCs w:val="24"/>
        </w:rPr>
      </w:pPr>
      <w:r>
        <w:rPr>
          <w:rFonts w:cs="Times New Roman"/>
          <w:szCs w:val="24"/>
        </w:rPr>
        <w:t>“人与自然和谐共生”的系统观、“绿水青山就是金山银山”的价值观与“生态惠民、生态利民、生态为民”的民生观，从不同维度确立了网络安全在绿色基础设施建设中的基础性地位。它既是保障系统可靠运行的根基，也是确证生态产品价值的凭证，更是实现普惠治理效能的基石。</w:t>
      </w:r>
    </w:p>
    <w:p w14:paraId="67E8A5A1">
      <w:pPr>
        <w:widowControl/>
        <w:ind w:firstLine="480"/>
        <w:jc w:val="left"/>
        <w:rPr>
          <w:rFonts w:cs="Times New Roman"/>
          <w:szCs w:val="24"/>
        </w:rPr>
      </w:pPr>
      <w:r>
        <w:rPr>
          <w:rFonts w:hint="eastAsia" w:cs="Times New Roman"/>
          <w:szCs w:val="24"/>
        </w:rPr>
        <w:t>基于此，从风险分析、路径发展和政策建议三个维度系统推进“绿色-安全”一体化发展范式，成为当前亟待解决的重要战略议题。</w:t>
      </w:r>
    </w:p>
    <w:p w14:paraId="667BFD6C">
      <w:pPr>
        <w:pStyle w:val="3"/>
      </w:pPr>
      <w:bookmarkStart w:id="27" w:name="_Toc214298751"/>
      <w:r>
        <w:t>4.</w:t>
      </w:r>
      <w:r>
        <w:rPr>
          <w:rFonts w:hint="eastAsia"/>
        </w:rPr>
        <w:t>1</w:t>
      </w:r>
      <w:r>
        <w:t xml:space="preserve"> 绿色基础设施网络安全</w:t>
      </w:r>
      <w:bookmarkEnd w:id="27"/>
      <w:r>
        <w:rPr>
          <w:rFonts w:hint="eastAsia"/>
        </w:rPr>
        <w:t>风险分析</w:t>
      </w:r>
    </w:p>
    <w:p w14:paraId="500D9A15">
      <w:pPr>
        <w:widowControl/>
        <w:ind w:firstLine="480"/>
        <w:jc w:val="left"/>
        <w:rPr>
          <w:rFonts w:cs="Times New Roman"/>
          <w:szCs w:val="24"/>
        </w:rPr>
      </w:pPr>
      <w:r>
        <w:rPr>
          <w:rFonts w:hint="eastAsia" w:cs="Times New Roman"/>
          <w:szCs w:val="24"/>
        </w:rPr>
        <w:t>现实中</w:t>
      </w:r>
      <w:r>
        <w:rPr>
          <w:rFonts w:cs="Times New Roman"/>
          <w:szCs w:val="24"/>
        </w:rPr>
        <w:t>，智能电网、环境监测网络、智慧水务系统等关键</w:t>
      </w:r>
      <w:r>
        <w:rPr>
          <w:rFonts w:hint="eastAsia" w:cs="Times New Roman"/>
          <w:szCs w:val="24"/>
        </w:rPr>
        <w:t>绿色基础设施</w:t>
      </w:r>
      <w:r>
        <w:rPr>
          <w:rFonts w:cs="Times New Roman"/>
          <w:szCs w:val="24"/>
        </w:rPr>
        <w:t>系统面临</w:t>
      </w:r>
      <w:r>
        <w:rPr>
          <w:rFonts w:hint="eastAsia" w:cs="Times New Roman"/>
          <w:szCs w:val="24"/>
        </w:rPr>
        <w:t>着严重的</w:t>
      </w:r>
      <w:r>
        <w:rPr>
          <w:rFonts w:cs="Times New Roman"/>
          <w:szCs w:val="24"/>
        </w:rPr>
        <w:t>网络威胁</w:t>
      </w:r>
      <w:r>
        <w:rPr>
          <w:rFonts w:hint="eastAsia" w:cs="Times New Roman"/>
          <w:szCs w:val="24"/>
        </w:rPr>
        <w:t>，并</w:t>
      </w:r>
      <w:r>
        <w:rPr>
          <w:rFonts w:cs="Times New Roman"/>
          <w:szCs w:val="24"/>
        </w:rPr>
        <w:t>对</w:t>
      </w:r>
      <w:r>
        <w:rPr>
          <w:rFonts w:hint="eastAsia" w:cs="Times New Roman"/>
          <w:szCs w:val="24"/>
        </w:rPr>
        <w:t>国家</w:t>
      </w:r>
      <w:r>
        <w:rPr>
          <w:rFonts w:cs="Times New Roman"/>
          <w:szCs w:val="24"/>
        </w:rPr>
        <w:t>生态安全与可持续发展</w:t>
      </w:r>
      <w:r>
        <w:rPr>
          <w:rFonts w:hint="eastAsia" w:cs="Times New Roman"/>
          <w:szCs w:val="24"/>
        </w:rPr>
        <w:t>战略造成挑战。</w:t>
      </w:r>
    </w:p>
    <w:p w14:paraId="189C686F">
      <w:pPr>
        <w:pStyle w:val="4"/>
      </w:pPr>
      <w:r>
        <w:t>4.1.1 智能电网安全与能源系统风险</w:t>
      </w:r>
    </w:p>
    <w:p w14:paraId="7F450A62">
      <w:pPr>
        <w:widowControl/>
        <w:ind w:firstLine="480"/>
        <w:jc w:val="left"/>
        <w:rPr>
          <w:rFonts w:cs="Times New Roman"/>
          <w:szCs w:val="24"/>
        </w:rPr>
      </w:pPr>
      <w:r>
        <w:rPr>
          <w:rFonts w:cs="Times New Roman"/>
          <w:szCs w:val="24"/>
        </w:rPr>
        <w:t>在智能电网领域，网络威胁直接冲击国家能源安全与“双碳”进程</w:t>
      </w:r>
      <w:commentRangeStart w:id="0"/>
      <w:r>
        <w:rPr>
          <w:rFonts w:cs="Times New Roman"/>
          <w:szCs w:val="24"/>
        </w:rPr>
        <w:t>[3]</w:t>
      </w:r>
      <w:commentRangeEnd w:id="0"/>
      <w:r>
        <w:rPr>
          <w:rStyle w:val="23"/>
        </w:rPr>
        <w:commentReference w:id="0"/>
      </w:r>
      <w:r>
        <w:rPr>
          <w:rFonts w:cs="Times New Roman"/>
          <w:szCs w:val="24"/>
        </w:rPr>
        <w:t>。攻击者通过数据篡改攻击，可</w:t>
      </w:r>
      <w:r>
        <w:rPr>
          <w:rFonts w:hint="eastAsia" w:cs="Times New Roman"/>
          <w:szCs w:val="24"/>
        </w:rPr>
        <w:t>以</w:t>
      </w:r>
      <w:r>
        <w:rPr>
          <w:rFonts w:cs="Times New Roman"/>
          <w:szCs w:val="24"/>
        </w:rPr>
        <w:t>扭曲电力调度模型，导致清洁能源被恶意弃用，迫使电网依赖高碳能源，实质上架空减排政策。大规模的拒绝服务攻击则可能引发连锁故障，造成区域性停电，这不仅重创数字经济，更可能迫使社会临时启用高污染备用电源，与绿色发展目标背道而驰</w:t>
      </w:r>
      <w:commentRangeStart w:id="1"/>
      <w:r>
        <w:rPr>
          <w:rFonts w:cs="Times New Roman"/>
          <w:szCs w:val="24"/>
        </w:rPr>
        <w:t>[6]</w:t>
      </w:r>
      <w:commentRangeEnd w:id="1"/>
      <w:r>
        <w:rPr>
          <w:rStyle w:val="23"/>
        </w:rPr>
        <w:commentReference w:id="1"/>
      </w:r>
      <w:r>
        <w:rPr>
          <w:rFonts w:cs="Times New Roman"/>
          <w:szCs w:val="24"/>
        </w:rPr>
        <w:t>。</w:t>
      </w:r>
    </w:p>
    <w:p w14:paraId="063C76C1">
      <w:pPr>
        <w:pStyle w:val="4"/>
      </w:pPr>
      <w:r>
        <w:t>4.1.2 环境监测网络数据可信性风险</w:t>
      </w:r>
    </w:p>
    <w:p w14:paraId="327DAA52">
      <w:pPr>
        <w:widowControl/>
        <w:ind w:firstLine="480"/>
        <w:jc w:val="left"/>
        <w:rPr>
          <w:rFonts w:cs="Times New Roman"/>
          <w:szCs w:val="24"/>
        </w:rPr>
      </w:pPr>
      <w:r>
        <w:rPr>
          <w:rFonts w:cs="Times New Roman"/>
          <w:szCs w:val="24"/>
        </w:rPr>
        <w:t>环境监测网络“真、准、全”的数据是环境治理与执法的基础。</w:t>
      </w:r>
      <w:r>
        <w:rPr>
          <w:rFonts w:hint="eastAsia" w:cs="Times New Roman"/>
          <w:szCs w:val="24"/>
        </w:rPr>
        <w:t>若</w:t>
      </w:r>
      <w:r>
        <w:rPr>
          <w:rFonts w:cs="Times New Roman"/>
          <w:szCs w:val="24"/>
        </w:rPr>
        <w:t>攻击者通过传感器欺骗与数据投毒，制造虚假的环境质量数据，掩盖实际污染状况，</w:t>
      </w:r>
      <w:r>
        <w:rPr>
          <w:rFonts w:hint="eastAsia" w:cs="Times New Roman"/>
          <w:szCs w:val="24"/>
        </w:rPr>
        <w:t>则会</w:t>
      </w:r>
      <w:r>
        <w:rPr>
          <w:rFonts w:cs="Times New Roman"/>
          <w:szCs w:val="24"/>
        </w:rPr>
        <w:t>为非法排污提供保护伞，使严格的环境监管制度形同虚设。这种“数字环保造假”严重削弱了环境监管体系的有效性与公信力，严重阻碍污染防治攻坚战的深入推进</w:t>
      </w:r>
      <w:commentRangeStart w:id="2"/>
      <w:r>
        <w:rPr>
          <w:rFonts w:cs="Times New Roman"/>
          <w:szCs w:val="24"/>
        </w:rPr>
        <w:t>[2]</w:t>
      </w:r>
      <w:commentRangeEnd w:id="2"/>
      <w:r>
        <w:rPr>
          <w:rStyle w:val="23"/>
        </w:rPr>
        <w:commentReference w:id="2"/>
      </w:r>
      <w:r>
        <w:rPr>
          <w:rFonts w:cs="Times New Roman"/>
          <w:szCs w:val="24"/>
        </w:rPr>
        <w:t>。</w:t>
      </w:r>
    </w:p>
    <w:p w14:paraId="7626CA18">
      <w:pPr>
        <w:pStyle w:val="4"/>
      </w:pPr>
      <w:r>
        <w:t>4.1.3 智慧水务系统运行与公共安全风险</w:t>
      </w:r>
    </w:p>
    <w:p w14:paraId="4DCDEDD8">
      <w:pPr>
        <w:widowControl/>
        <w:ind w:firstLine="480"/>
        <w:jc w:val="left"/>
        <w:rPr>
          <w:rFonts w:cs="Times New Roman"/>
          <w:szCs w:val="24"/>
        </w:rPr>
      </w:pPr>
      <w:r>
        <w:rPr>
          <w:rFonts w:cs="Times New Roman"/>
          <w:szCs w:val="24"/>
        </w:rPr>
        <w:t>智慧水务系统中的风险则关乎水资源安全与公众健康。网络攻击者可渗透监控与数据采集（SCADA）系统，恶意篡改供水压力、水质处理参数等关键控制指令，人为制造水资源的大量浪费或直接引发水质污染公共事件。这既是对国家“节水优先”方针的根本性破坏，也严重违背了“以人民为中心”的发展思想，社会危害性极大。</w:t>
      </w:r>
    </w:p>
    <w:p w14:paraId="7CA11B15">
      <w:pPr>
        <w:pStyle w:val="3"/>
      </w:pPr>
      <w:bookmarkStart w:id="28" w:name="_Toc214298752"/>
      <w:r>
        <w:t>4.</w:t>
      </w:r>
      <w:r>
        <w:rPr>
          <w:rFonts w:hint="eastAsia"/>
        </w:rPr>
        <w:t>2</w:t>
      </w:r>
      <w:r>
        <w:t xml:space="preserve"> </w:t>
      </w:r>
      <w:bookmarkEnd w:id="28"/>
      <w:r>
        <w:rPr>
          <w:rFonts w:hint="eastAsia"/>
        </w:rPr>
        <w:t>安全赋能绿色发展路径</w:t>
      </w:r>
    </w:p>
    <w:p w14:paraId="4B98EDDD">
      <w:pPr>
        <w:widowControl/>
        <w:ind w:firstLine="480"/>
        <w:jc w:val="left"/>
        <w:rPr>
          <w:rFonts w:cs="Times New Roman"/>
          <w:szCs w:val="24"/>
        </w:rPr>
      </w:pPr>
      <w:r>
        <w:rPr>
          <w:rFonts w:cs="Times New Roman"/>
          <w:szCs w:val="24"/>
        </w:rPr>
        <w:t>面对上述</w:t>
      </w:r>
      <w:r>
        <w:rPr>
          <w:rFonts w:hint="eastAsia" w:cs="Times New Roman"/>
          <w:szCs w:val="24"/>
        </w:rPr>
        <w:t>风险</w:t>
      </w:r>
      <w:r>
        <w:rPr>
          <w:rFonts w:cs="Times New Roman"/>
          <w:szCs w:val="24"/>
        </w:rPr>
        <w:t>，必须推动绿色发展范式从“技术叠加”向“一体融合”转型，将网络安全深度嵌入生态文明建设的全过程。</w:t>
      </w:r>
    </w:p>
    <w:p w14:paraId="30C80040">
      <w:pPr>
        <w:pStyle w:val="4"/>
      </w:pPr>
      <w:r>
        <w:t>4.2.1 构建“云-管-边-端”一体化纵深防御体系</w:t>
      </w:r>
    </w:p>
    <w:p w14:paraId="6DB070E7">
      <w:pPr>
        <w:widowControl/>
        <w:ind w:firstLine="480"/>
        <w:jc w:val="left"/>
        <w:rPr>
          <w:rFonts w:cs="Times New Roman"/>
          <w:szCs w:val="24"/>
        </w:rPr>
      </w:pPr>
      <w:r>
        <w:rPr>
          <w:rFonts w:cs="Times New Roman"/>
          <w:szCs w:val="24"/>
        </w:rPr>
        <w:t>必须为绿色基础设施构建覆盖“云-管-边-端”的一体化纵深防御体系。该体系旨在实现云端的数据与控制安全、管道的传输安全、边缘的协同安全与终端的感知安全。通过各层级安全能力的有机整合，形成统一、弹性的防护合力，从根本上提升系统的整体抗打击与自恢复能力，以系统性安全守护城市生态系统的稳定。</w:t>
      </w:r>
    </w:p>
    <w:p w14:paraId="6C97BEDC">
      <w:pPr>
        <w:pStyle w:val="4"/>
      </w:pPr>
      <w:r>
        <w:t>4.2.2 建设可信生态数据管理机制</w:t>
      </w:r>
    </w:p>
    <w:p w14:paraId="79C595DB">
      <w:pPr>
        <w:widowControl/>
        <w:ind w:firstLine="480"/>
        <w:jc w:val="left"/>
        <w:rPr>
          <w:rFonts w:cs="Times New Roman"/>
          <w:szCs w:val="24"/>
        </w:rPr>
      </w:pPr>
      <w:r>
        <w:rPr>
          <w:rFonts w:cs="Times New Roman"/>
          <w:szCs w:val="24"/>
        </w:rPr>
        <w:t>生态产品价值从理念转化为市场价值，依赖于一套可信的度量、核算与交易体系。必须嵌入可靠的技术保障，例如利用国产密码算法和区块链技术，构建防篡改、可审计的生态数据管理范式，为生态补偿、绿色金融等市场机制提供坚实可信的数据底座</w:t>
      </w:r>
      <w:commentRangeStart w:id="3"/>
      <w:r>
        <w:rPr>
          <w:rFonts w:cs="Times New Roman"/>
          <w:szCs w:val="24"/>
        </w:rPr>
        <w:t>[5]</w:t>
      </w:r>
      <w:commentRangeEnd w:id="3"/>
      <w:r>
        <w:rPr>
          <w:rStyle w:val="23"/>
        </w:rPr>
        <w:commentReference w:id="3"/>
      </w:r>
      <w:r>
        <w:rPr>
          <w:rFonts w:cs="Times New Roman"/>
          <w:szCs w:val="24"/>
        </w:rPr>
        <w:t>，从而保障生态产品价值实现机制的信用根基。</w:t>
      </w:r>
    </w:p>
    <w:p w14:paraId="7D731BC9">
      <w:pPr>
        <w:pStyle w:val="4"/>
      </w:pPr>
      <w:r>
        <w:t>4.2.3 提升绿色公共服务韧性保障能力</w:t>
      </w:r>
    </w:p>
    <w:p w14:paraId="37911320">
      <w:pPr>
        <w:widowControl/>
        <w:ind w:firstLine="480"/>
        <w:jc w:val="left"/>
        <w:rPr>
          <w:rFonts w:cs="Times New Roman"/>
          <w:szCs w:val="24"/>
        </w:rPr>
      </w:pPr>
      <w:r>
        <w:rPr>
          <w:rFonts w:cs="Times New Roman"/>
          <w:szCs w:val="24"/>
        </w:rPr>
        <w:t>为落实“生态为民”，必须在绿色基础设施的顶层设计中，优先保障其公共服务的广泛可及性与系统韧性。应着力研发并推广具备低成本、高可靠、易维护特征的自主可控安全技术，确保在面临极端工况或网络冲击时，关乎国计民生的核心绿色服务（如电力、供水）仍能维持最低限度的安全运行能力，从而有力捍卫社会公共利益与基本民生底线。</w:t>
      </w:r>
    </w:p>
    <w:p w14:paraId="7E0046AE">
      <w:pPr>
        <w:pStyle w:val="3"/>
      </w:pPr>
      <w:bookmarkStart w:id="29" w:name="_Toc214298753"/>
      <w:r>
        <w:rPr>
          <w:rFonts w:hint="eastAsia"/>
        </w:rPr>
        <w:t xml:space="preserve">4.3 </w:t>
      </w:r>
      <w:r>
        <w:t>政策建议</w:t>
      </w:r>
      <w:bookmarkEnd w:id="29"/>
    </w:p>
    <w:p w14:paraId="0ECC06F4">
      <w:pPr>
        <w:widowControl/>
        <w:ind w:firstLine="480"/>
        <w:jc w:val="left"/>
        <w:rPr>
          <w:rFonts w:cs="Times New Roman"/>
          <w:szCs w:val="24"/>
        </w:rPr>
      </w:pPr>
      <w:r>
        <w:rPr>
          <w:rFonts w:hint="eastAsia" w:cs="Times New Roman"/>
          <w:szCs w:val="24"/>
        </w:rPr>
        <w:t>为将“绿色-安全”一体化发展范式从理论构想转化为治理实践，亟需加强顶层设计，构建一套贯穿规划、运行与创新全过程的政策保障体系。</w:t>
      </w:r>
    </w:p>
    <w:p w14:paraId="56578E38">
      <w:pPr>
        <w:pStyle w:val="4"/>
      </w:pPr>
      <w:r>
        <w:t>4.3.1 强化绿色基础设施安全刚性约束</w:t>
      </w:r>
    </w:p>
    <w:p w14:paraId="3D5B0347">
      <w:pPr>
        <w:widowControl/>
        <w:ind w:firstLine="480"/>
        <w:jc w:val="left"/>
        <w:rPr>
          <w:rFonts w:cs="Times New Roman"/>
          <w:szCs w:val="24"/>
        </w:rPr>
      </w:pPr>
      <w:r>
        <w:rPr>
          <w:rFonts w:cs="Times New Roman"/>
          <w:szCs w:val="24"/>
        </w:rPr>
        <w:t>建议在国家层面的顶层设计中，明确将网络安全确立为绿色基础设施的固有属性与发展前提。在此基础上，应推动建立强制性安全准入制度，将网络安全指标与能耗、排放指标置于同等重要的位置，在项目立项、审批、验收及运营的全生命周期中，严格执行网络安全“同步规划、同步建设、同步运行”（三同步）原则。特别是对于纳入国家“双碳”战略的关键工程，应实施网络安全“一票否决”制，并将安全责任落实情况纳入地方政府及主要负责人的绩效考核体系，以刚性约束倒逼安全措施的落地</w:t>
      </w:r>
      <w:commentRangeStart w:id="4"/>
      <w:r>
        <w:rPr>
          <w:rFonts w:cs="Times New Roman"/>
          <w:szCs w:val="24"/>
        </w:rPr>
        <w:t>[4]</w:t>
      </w:r>
      <w:commentRangeEnd w:id="4"/>
      <w:r>
        <w:rPr>
          <w:rStyle w:val="23"/>
        </w:rPr>
        <w:commentReference w:id="4"/>
      </w:r>
      <w:r>
        <w:rPr>
          <w:rFonts w:cs="Times New Roman"/>
          <w:szCs w:val="24"/>
        </w:rPr>
        <w:t>。</w:t>
      </w:r>
    </w:p>
    <w:p w14:paraId="71F9CAB3">
      <w:pPr>
        <w:pStyle w:val="4"/>
      </w:pPr>
      <w:r>
        <w:t>4.3.2 建立跨部门协同演练与响应机制</w:t>
      </w:r>
    </w:p>
    <w:p w14:paraId="2ABA04D8">
      <w:pPr>
        <w:widowControl/>
        <w:ind w:firstLine="480"/>
        <w:jc w:val="left"/>
        <w:rPr>
          <w:rFonts w:cs="Times New Roman"/>
          <w:szCs w:val="24"/>
        </w:rPr>
      </w:pPr>
      <w:r>
        <w:rPr>
          <w:rFonts w:cs="Times New Roman"/>
          <w:szCs w:val="24"/>
        </w:rPr>
        <w:t>针对绿色基础设施跨领域、跨部门的复杂特性，建议由国家网信部门牵头，联合生态环境、能源、水利、住建、应急管理等部门，建立常态化的“护绿”网络攻防演习机制。演习应侧重于实战化、场景化，模拟针对智能电网、智慧水务等系统的复杂网络攻击，重点检验各部门在威胁情报共享、协同指挥决策、联合应急响应等方面的能力。演习后需形成详细的评估报告与整改清单，并以此为基础，迭代优化应急预案，固化协同流程，最终构建起全域联动、平战结合的一体化安全保障体系，确保在真实威胁面前能够快速有效地进行处</w:t>
      </w:r>
      <w:r>
        <w:rPr>
          <w:rFonts w:hint="eastAsia" w:cs="Times New Roman"/>
          <w:szCs w:val="24"/>
        </w:rPr>
        <w:t>置</w:t>
      </w:r>
      <w:commentRangeStart w:id="5"/>
      <w:r>
        <w:rPr>
          <w:rFonts w:cs="Times New Roman"/>
          <w:szCs w:val="24"/>
        </w:rPr>
        <w:t>[6]</w:t>
      </w:r>
      <w:commentRangeEnd w:id="5"/>
      <w:r>
        <w:rPr>
          <w:rStyle w:val="23"/>
        </w:rPr>
        <w:commentReference w:id="5"/>
      </w:r>
      <w:r>
        <w:rPr>
          <w:rFonts w:cs="Times New Roman"/>
          <w:szCs w:val="24"/>
        </w:rPr>
        <w:t>。</w:t>
      </w:r>
    </w:p>
    <w:p w14:paraId="00725866">
      <w:pPr>
        <w:pStyle w:val="4"/>
      </w:pPr>
      <w:r>
        <w:t>4.3.3 推动自主可控绿色安全技术发展</w:t>
      </w:r>
    </w:p>
    <w:p w14:paraId="10243BE0">
      <w:pPr>
        <w:widowControl/>
        <w:ind w:firstLine="480"/>
        <w:jc w:val="left"/>
        <w:rPr>
          <w:rFonts w:cs="Times New Roman"/>
          <w:szCs w:val="24"/>
        </w:rPr>
      </w:pPr>
      <w:r>
        <w:rPr>
          <w:rFonts w:cs="Times New Roman"/>
          <w:szCs w:val="24"/>
        </w:rPr>
        <w:t>应在国家科技创新规划中，明确要求技术必须同时满足“绿色节能”和“安全可靠” 两大标准。建议设立一个国家级的重点科研项目，专门攻克适合智慧城市的安全技术，比如适合物联网设备的省电加密技术、功耗低的安全芯片和本身就很安全的工业控制系统。政府可以通过提供补贴、优先采购等方式，鼓励企业研发和使用这类国产化的“绿色安全”产品。</w:t>
      </w:r>
    </w:p>
    <w:p w14:paraId="6FB53BCD">
      <w:pPr>
        <w:widowControl/>
        <w:ind w:firstLine="480"/>
        <w:jc w:val="left"/>
        <w:rPr>
          <w:rFonts w:cs="Times New Roman"/>
          <w:szCs w:val="24"/>
        </w:rPr>
      </w:pPr>
      <w:r>
        <w:rPr>
          <w:rFonts w:cs="Times New Roman"/>
          <w:szCs w:val="24"/>
        </w:rPr>
        <w:t>同时，要促成企业、高校、研究机构和用户的合作，共同打造一条从基础软件到核心硬件都自主可控的产业链，从而在关键技术上不再受制于人，稳固国家的生态安全和数字主权</w:t>
      </w:r>
      <w:commentRangeStart w:id="6"/>
      <w:r>
        <w:rPr>
          <w:rFonts w:cs="Times New Roman"/>
          <w:szCs w:val="24"/>
        </w:rPr>
        <w:t>[3]</w:t>
      </w:r>
      <w:commentRangeEnd w:id="6"/>
      <w:r>
        <w:rPr>
          <w:rStyle w:val="23"/>
        </w:rPr>
        <w:commentReference w:id="6"/>
      </w:r>
      <w:r>
        <w:rPr>
          <w:rFonts w:cs="Times New Roman"/>
          <w:szCs w:val="24"/>
        </w:rPr>
        <w:t>。</w:t>
      </w:r>
    </w:p>
    <w:p w14:paraId="294DE1E6">
      <w:pPr>
        <w:pStyle w:val="2"/>
      </w:pPr>
      <w:r>
        <w:br w:type="page"/>
      </w:r>
      <w:bookmarkStart w:id="30" w:name="_Toc214298755"/>
      <w:r>
        <w:rPr>
          <w:rFonts w:hint="eastAsia"/>
        </w:rPr>
        <w:t>5 总结</w:t>
      </w:r>
      <w:bookmarkEnd w:id="30"/>
    </w:p>
    <w:p w14:paraId="7A3C04E8">
      <w:pPr>
        <w:ind w:firstLine="480"/>
      </w:pPr>
      <w:r>
        <w:t>智慧城市不是简单的技术堆叠，而是国家治理体系在数字空间的系统性延伸。本文从网络空间安全视角出发，围绕经济、政治与生态文明三大维度，系统梳理了智慧城市在数据要素市场化、数字治理能力、绿色基础设施等方面面临的安全挑战，提出“安全赋能”不仅是技术路径，更是国家战略层面的治理转型。</w:t>
      </w:r>
    </w:p>
    <w:p w14:paraId="2886285C">
      <w:pPr>
        <w:ind w:firstLine="480"/>
        <w:rPr>
          <w:rFonts w:hint="eastAsia"/>
        </w:rPr>
      </w:pPr>
      <w:r>
        <w:t>在经济建设维度，研究揭示了数据要素市场化进程中数据泄露、关键数字基础设施被攻击、数据垄断等风险对经济发展的冲击，提出通过构建可信数据流通环境、保障数字金融安全、护航数字贸易等路径，实现安全赋能经济发展。在政治建设维度，研究聚焦关键信息基础设施安全、网络渗透与意识形态安全、数据主权挑战等核心议题，提出强化电子政务安全、构建网络空间命运共同体下的自主防线、利用安全技术提升社会治理精度等路径，以高水平安全保障高质量治理，巩固数字时代的执政基础。在生态文明建设维度，研究分析了智能电网、环境监测网络、智慧水务系统等绿色基础设施面临的网络安全威胁对国家生态安全与可持续发展战略的挑战，提出构建"云-管-边-端"一体化纵深防御体系、建设可信生态数据管理机制、提升绿色公共服务韧性保障能力等路径，推动"绿色-安全"一体化发展范式。</w:t>
      </w:r>
    </w:p>
    <w:p w14:paraId="6B951EEE">
      <w:pPr>
        <w:ind w:firstLine="480"/>
      </w:pPr>
      <w:r>
        <w:t>研究表明，网络安全已从“保障手段”上升为“发展前提”，其核心价值在于构建可信、可控、可持续的数字生态。未来智慧城市建设必须坚持“安全先行、治理协同、人民至上”的原则，推动形成“技术—制度—价值”三位一体的安全治理体系。唯有如此，才能真正实现“数字让城市更智慧，安全让智慧更可信”，在数字时代筑牢国家安全屏障，推动智慧城市走向高质量、可持续、以人民为中心的现代化发展之路。</w:t>
      </w:r>
    </w:p>
    <w:p w14:paraId="65D5EBB4">
      <w:pPr>
        <w:widowControl/>
        <w:spacing w:line="240" w:lineRule="auto"/>
        <w:ind w:firstLine="0" w:firstLineChars="0"/>
        <w:jc w:val="left"/>
      </w:pPr>
      <w:r>
        <w:rPr>
          <w:b/>
        </w:rPr>
        <w:br w:type="page"/>
      </w:r>
    </w:p>
    <w:p w14:paraId="20DDC979">
      <w:pPr>
        <w:pStyle w:val="2"/>
        <w:rPr>
          <w:rFonts w:cs="Times New Roman"/>
          <w:szCs w:val="24"/>
        </w:rPr>
      </w:pPr>
      <w:bookmarkStart w:id="31" w:name="_Toc214298756"/>
      <w:r>
        <w:rPr>
          <w:rFonts w:hint="eastAsia"/>
        </w:rPr>
        <w:t>参考文献</w:t>
      </w:r>
      <w:bookmarkEnd w:id="31"/>
    </w:p>
    <w:p w14:paraId="4784FF30">
      <w:pPr>
        <w:pStyle w:val="37"/>
        <w:numPr>
          <w:ilvl w:val="0"/>
          <w:numId w:val="1"/>
        </w:numPr>
        <w:ind w:left="0" w:firstLine="0" w:firstLineChars="0"/>
      </w:pPr>
      <w:bookmarkStart w:id="32" w:name="_Ref214305597"/>
      <w:r>
        <w:rPr>
          <w:rFonts w:hint="eastAsia"/>
        </w:rPr>
        <w:t>张芳芳.计算机大数据技术在智慧城市建设中的应用[J].数字通信世界,2024,(07):175-177+194.</w:t>
      </w:r>
      <w:bookmarkEnd w:id="32"/>
    </w:p>
    <w:p w14:paraId="6EA8167F">
      <w:pPr>
        <w:pStyle w:val="37"/>
        <w:numPr>
          <w:ilvl w:val="0"/>
          <w:numId w:val="1"/>
        </w:numPr>
        <w:ind w:left="0" w:firstLine="0" w:firstLineChars="0"/>
      </w:pPr>
      <w:bookmarkStart w:id="33" w:name="_Ref214305639"/>
      <w:r>
        <w:rPr>
          <w:rFonts w:hint="eastAsia"/>
        </w:rPr>
        <w:t>刘丹.供应链管理信息系统安全探讨[J].情报探索,2009,(09):75-78.</w:t>
      </w:r>
      <w:bookmarkEnd w:id="33"/>
    </w:p>
    <w:p w14:paraId="41CE5B65">
      <w:pPr>
        <w:pStyle w:val="37"/>
        <w:numPr>
          <w:ilvl w:val="0"/>
          <w:numId w:val="1"/>
        </w:numPr>
        <w:ind w:left="0" w:firstLine="0" w:firstLineChars="0"/>
      </w:pPr>
      <w:bookmarkStart w:id="34" w:name="_Ref214305648"/>
      <w:r>
        <w:rPr>
          <w:rFonts w:hint="eastAsia"/>
        </w:rPr>
        <w:t>赵青.新时代中国平台经济竞争法治的实践进路[J].统一战线学研究,2022,6(02):80-89.</w:t>
      </w:r>
      <w:bookmarkEnd w:id="34"/>
    </w:p>
    <w:p w14:paraId="7E128274">
      <w:pPr>
        <w:pStyle w:val="37"/>
        <w:numPr>
          <w:ilvl w:val="0"/>
          <w:numId w:val="1"/>
        </w:numPr>
        <w:ind w:left="0" w:firstLine="0" w:firstLineChars="0"/>
      </w:pPr>
      <w:bookmarkStart w:id="35" w:name="_Ref214305663"/>
      <w:r>
        <w:rPr>
          <w:rFonts w:hint="eastAsia"/>
        </w:rPr>
        <w:t>张秋荟,高迁.大数据与区块链技术在智慧城市数据安全管理中的应用探索[J].信息记录材料,2024,25(11):117-119+123.</w:t>
      </w:r>
      <w:bookmarkEnd w:id="35"/>
    </w:p>
    <w:p w14:paraId="6380946E">
      <w:pPr>
        <w:pStyle w:val="37"/>
        <w:numPr>
          <w:ilvl w:val="0"/>
          <w:numId w:val="1"/>
        </w:numPr>
        <w:ind w:left="0" w:firstLine="0" w:firstLineChars="0"/>
      </w:pPr>
      <w:bookmarkStart w:id="36" w:name="_Ref214305671"/>
      <w:r>
        <w:rPr>
          <w:rFonts w:hint="eastAsia"/>
        </w:rPr>
        <w:t>聂朝冬.区块链技术在数据要素市场化配置中的应用[J].数字技术与应用,2023,41(12):61-63.</w:t>
      </w:r>
      <w:bookmarkEnd w:id="36"/>
    </w:p>
    <w:p w14:paraId="28793037">
      <w:pPr>
        <w:pStyle w:val="37"/>
        <w:numPr>
          <w:ilvl w:val="0"/>
          <w:numId w:val="1"/>
        </w:numPr>
        <w:ind w:left="0" w:firstLine="0" w:firstLineChars="0"/>
      </w:pPr>
      <w:bookmarkStart w:id="37" w:name="_Ref214305681"/>
      <w:r>
        <w:rPr>
          <w:rFonts w:hint="eastAsia"/>
        </w:rPr>
        <w:t>姜勇.区块链技术在北京市不动产电子证照系统中的应用[J].北京规划建设,2020(S01):106-110</w:t>
      </w:r>
      <w:bookmarkEnd w:id="37"/>
    </w:p>
    <w:p w14:paraId="0377E37D">
      <w:pPr>
        <w:pStyle w:val="37"/>
        <w:numPr>
          <w:ilvl w:val="0"/>
          <w:numId w:val="1"/>
        </w:numPr>
        <w:ind w:left="0" w:firstLine="0" w:firstLineChars="0"/>
      </w:pPr>
      <w:bookmarkStart w:id="38" w:name="_Ref214305704"/>
      <w:r>
        <w:rPr>
          <w:rFonts w:hint="eastAsia"/>
        </w:rPr>
        <w:t>程镝,荣煜,赵玉烨.智慧城市建设中的透明度诉求与隐私保护：基于多伦多市与哈尔滨市的治理实践[J].中国行政管理,2024,40(10):42-52.</w:t>
      </w:r>
      <w:bookmarkEnd w:id="38"/>
    </w:p>
    <w:p w14:paraId="37D20B61">
      <w:pPr>
        <w:pStyle w:val="37"/>
        <w:numPr>
          <w:ilvl w:val="0"/>
          <w:numId w:val="1"/>
        </w:numPr>
        <w:ind w:left="0" w:firstLine="0" w:firstLineChars="0"/>
      </w:pPr>
      <w:bookmarkStart w:id="39" w:name="_Ref214305716"/>
      <w:r>
        <w:rPr>
          <w:rFonts w:hint="eastAsia"/>
        </w:rPr>
        <w:t>温演驰,谭帅帅.智慧城市数据安全治理标准：突出问题与改进对策[J].数字经济,2024,(04):48-53.</w:t>
      </w:r>
      <w:bookmarkEnd w:id="39"/>
    </w:p>
    <w:p w14:paraId="34093152">
      <w:pPr>
        <w:pStyle w:val="37"/>
        <w:numPr>
          <w:ilvl w:val="0"/>
          <w:numId w:val="1"/>
        </w:numPr>
        <w:ind w:left="0" w:firstLine="0" w:firstLineChars="0"/>
      </w:pPr>
      <w:bookmarkStart w:id="40" w:name="_Ref214305730"/>
      <w:r>
        <w:t>国家数据局等十七部门. "数据要素×"三年行动计划（2024—2026年）[Z]. 2024.</w:t>
      </w:r>
      <w:bookmarkEnd w:id="40"/>
    </w:p>
    <w:p w14:paraId="5669CE85">
      <w:pPr>
        <w:pStyle w:val="37"/>
        <w:numPr>
          <w:ilvl w:val="0"/>
          <w:numId w:val="1"/>
        </w:numPr>
        <w:ind w:left="0" w:firstLine="0" w:firstLineChars="0"/>
        <w:rPr>
          <w:rFonts w:hint="eastAsia"/>
        </w:rPr>
      </w:pPr>
      <w:bookmarkStart w:id="41" w:name="_Ref214305740"/>
      <w:r>
        <w:rPr>
          <w:rFonts w:hint="eastAsia"/>
        </w:rPr>
        <w:t xml:space="preserve"> </w:t>
      </w:r>
      <w:r>
        <w:t>国务院. 关于构建数据基础制度更好发挥数据要素作用的意见[Z]. 2022.</w:t>
      </w:r>
      <w:bookmarkEnd w:id="41"/>
    </w:p>
    <w:p w14:paraId="6999472B">
      <w:pPr>
        <w:pStyle w:val="37"/>
        <w:numPr>
          <w:ilvl w:val="0"/>
          <w:numId w:val="1"/>
        </w:numPr>
        <w:ind w:left="0" w:firstLine="0" w:firstLineChars="0"/>
        <w:rPr>
          <w:rFonts w:hint="eastAsia"/>
        </w:rPr>
      </w:pPr>
      <w:bookmarkStart w:id="42" w:name="_Ref22278"/>
      <w:r>
        <w:rPr>
          <w:rFonts w:hint="default"/>
          <w:lang w:val="en-US" w:eastAsia="zh-CN"/>
        </w:rPr>
        <w:t xml:space="preserve">侯金亮 朱 涛. 加快智慧城市建设步伐[N]. </w:t>
      </w:r>
      <w:r>
        <w:rPr>
          <w:rFonts w:hint="eastAsia"/>
          <w:lang w:val="en-US" w:eastAsia="zh-CN"/>
        </w:rPr>
        <w:t>人民日报</w:t>
      </w:r>
      <w:r>
        <w:rPr>
          <w:rFonts w:hint="default"/>
          <w:lang w:val="en-US" w:eastAsia="zh-CN"/>
        </w:rPr>
        <w:t xml:space="preserve">, 2024-07-26. </w:t>
      </w:r>
      <w:bookmarkEnd w:id="42"/>
    </w:p>
    <w:p w14:paraId="0DB30DB2">
      <w:pPr>
        <w:pStyle w:val="37"/>
        <w:numPr>
          <w:ilvl w:val="0"/>
          <w:numId w:val="1"/>
        </w:numPr>
        <w:ind w:left="0" w:firstLine="0" w:firstLineChars="0"/>
        <w:rPr>
          <w:rFonts w:hint="eastAsia"/>
        </w:rPr>
      </w:pPr>
      <w:bookmarkStart w:id="43" w:name="_Ref22679"/>
      <w:r>
        <w:rPr>
          <w:rFonts w:hint="default"/>
          <w:lang w:val="en-US" w:eastAsia="zh-CN"/>
        </w:rPr>
        <w:t xml:space="preserve">国家互联网信息办公室. 《关键信息基础设施安全保护条例》[EB/OL]. (2021-09-01)[2025-11-12]. </w:t>
      </w:r>
      <w:bookmarkEnd w:id="43"/>
    </w:p>
    <w:p w14:paraId="326B07C4">
      <w:pPr>
        <w:pStyle w:val="37"/>
        <w:numPr>
          <w:ilvl w:val="0"/>
          <w:numId w:val="1"/>
        </w:numPr>
        <w:ind w:left="0" w:firstLine="0" w:firstLineChars="0"/>
        <w:rPr>
          <w:rFonts w:hint="eastAsia"/>
        </w:rPr>
      </w:pPr>
      <w:bookmarkStart w:id="44" w:name="_Ref22807"/>
      <w:r>
        <w:rPr>
          <w:rFonts w:hint="default"/>
          <w:lang w:val="en-US" w:eastAsia="zh-CN"/>
        </w:rPr>
        <w:t xml:space="preserve">张合斌. 智能社会新形态下AIGC作为虚拟意见领袖在舆论引导中的价值[EB/OL]. (2025-10-09)[2025-11-12]. </w:t>
      </w:r>
      <w:r>
        <w:rPr>
          <w:rFonts w:hint="default"/>
          <w:lang w:val="en-US" w:eastAsia="zh-CN"/>
        </w:rPr>
        <w:fldChar w:fldCharType="begin"/>
      </w:r>
      <w:r>
        <w:rPr>
          <w:rFonts w:hint="default"/>
          <w:lang w:val="en-US" w:eastAsia="zh-CN"/>
        </w:rPr>
        <w:instrText xml:space="preserve"> HYPERLINK "https://theory.dahe.cn/2025/10-09/2003755.html" </w:instrText>
      </w:r>
      <w:r>
        <w:rPr>
          <w:rFonts w:hint="default"/>
          <w:lang w:val="en-US" w:eastAsia="zh-CN"/>
        </w:rPr>
        <w:fldChar w:fldCharType="separate"/>
      </w:r>
      <w:r>
        <w:rPr>
          <w:rStyle w:val="22"/>
          <w:rFonts w:hint="default"/>
          <w:lang w:val="en-US" w:eastAsia="zh-CN"/>
        </w:rPr>
        <w:t>https://theory.dahe.cn/2025/10-09/2003755.html</w:t>
      </w:r>
      <w:r>
        <w:rPr>
          <w:rFonts w:hint="default"/>
          <w:lang w:val="en-US" w:eastAsia="zh-CN"/>
        </w:rPr>
        <w:fldChar w:fldCharType="end"/>
      </w:r>
      <w:bookmarkEnd w:id="44"/>
    </w:p>
    <w:p w14:paraId="266928B3">
      <w:pPr>
        <w:pStyle w:val="37"/>
        <w:numPr>
          <w:ilvl w:val="0"/>
          <w:numId w:val="1"/>
        </w:numPr>
        <w:ind w:left="0" w:firstLine="0" w:firstLineChars="0"/>
        <w:rPr>
          <w:rFonts w:hint="eastAsia"/>
        </w:rPr>
      </w:pPr>
      <w:bookmarkStart w:id="45" w:name="_Ref22921"/>
      <w:r>
        <w:rPr>
          <w:rFonts w:hint="default"/>
          <w:lang w:val="en-US" w:eastAsia="zh-CN"/>
        </w:rPr>
        <w:t xml:space="preserve">中华人民共和国国防部. 数字化时代，亟须捍卫“数据主权”[EB/OL]. (2022-04-20)[2025-11-12]. </w:t>
      </w:r>
      <w:r>
        <w:rPr>
          <w:rFonts w:hint="default"/>
          <w:lang w:val="en-US" w:eastAsia="zh-CN"/>
        </w:rPr>
        <w:fldChar w:fldCharType="begin"/>
      </w:r>
      <w:r>
        <w:rPr>
          <w:rFonts w:hint="default"/>
          <w:lang w:val="en-US" w:eastAsia="zh-CN"/>
        </w:rPr>
        <w:instrText xml:space="preserve"> HYPERLINK "http://www.mod.gov.cn/gfbw/pl/2022-04/20/content_4909062.htm." </w:instrText>
      </w:r>
      <w:r>
        <w:rPr>
          <w:rFonts w:hint="default"/>
          <w:lang w:val="en-US" w:eastAsia="zh-CN"/>
        </w:rPr>
        <w:fldChar w:fldCharType="separate"/>
      </w:r>
      <w:r>
        <w:rPr>
          <w:rStyle w:val="22"/>
          <w:rFonts w:hint="default"/>
          <w:lang w:val="en-US" w:eastAsia="zh-CN"/>
        </w:rPr>
        <w:t>http://www.mod.gov.cn/gfbw/pl/2022-04/20/content_4909062.htm.</w:t>
      </w:r>
      <w:r>
        <w:rPr>
          <w:rFonts w:hint="default"/>
          <w:lang w:val="en-US" w:eastAsia="zh-CN"/>
        </w:rPr>
        <w:fldChar w:fldCharType="end"/>
      </w:r>
      <w:bookmarkEnd w:id="45"/>
    </w:p>
    <w:p w14:paraId="0A128E5E">
      <w:pPr>
        <w:pStyle w:val="37"/>
        <w:numPr>
          <w:ilvl w:val="0"/>
          <w:numId w:val="1"/>
        </w:numPr>
        <w:ind w:left="0" w:firstLine="0" w:firstLineChars="0"/>
        <w:rPr>
          <w:rFonts w:hint="eastAsia"/>
        </w:rPr>
      </w:pPr>
      <w:bookmarkStart w:id="46" w:name="_Ref23012"/>
      <w:r>
        <w:rPr>
          <w:rFonts w:hint="eastAsia"/>
          <w:lang w:val="en-US" w:eastAsia="zh-CN"/>
        </w:rPr>
        <w:t xml:space="preserve">黄艳, 徐志发. 百度智慧城市白皮书（2021年）[EB/OL]. (2021-07-30)[2025-11-12]. </w:t>
      </w:r>
      <w:bookmarkEnd w:id="46"/>
    </w:p>
    <w:p w14:paraId="1AD3CF85">
      <w:pPr>
        <w:pStyle w:val="37"/>
        <w:numPr>
          <w:ilvl w:val="0"/>
          <w:numId w:val="1"/>
        </w:numPr>
        <w:ind w:left="0" w:firstLine="0" w:firstLineChars="0"/>
        <w:rPr>
          <w:rFonts w:hint="eastAsia"/>
        </w:rPr>
      </w:pPr>
      <w:bookmarkStart w:id="47" w:name="_Ref23241"/>
      <w:r>
        <w:rPr>
          <w:rFonts w:hint="default"/>
          <w:lang w:val="en-US" w:eastAsia="zh-CN"/>
        </w:rPr>
        <w:t>周福战, 何丽蓉. 信息生态视角下突发事件网络舆情的生成演化及过程追踪分析[J]. 中国传媒科技, 2023(11): 24-30.</w:t>
      </w:r>
      <w:bookmarkEnd w:id="47"/>
    </w:p>
    <w:p w14:paraId="5979F7CB">
      <w:pPr>
        <w:pStyle w:val="37"/>
        <w:numPr>
          <w:ilvl w:val="0"/>
          <w:numId w:val="1"/>
        </w:numPr>
        <w:ind w:left="0" w:firstLine="0" w:firstLineChars="0"/>
        <w:rPr>
          <w:rFonts w:hint="eastAsia"/>
        </w:rPr>
      </w:pPr>
      <w:bookmarkStart w:id="48" w:name="_Ref23254"/>
      <w:r>
        <w:rPr>
          <w:rFonts w:hint="eastAsia"/>
          <w:strike w:val="0"/>
          <w:dstrike w:val="0"/>
          <w:u w:val="none"/>
          <w:lang w:val="en-US" w:eastAsia="zh-CN"/>
        </w:rPr>
        <w:t>甘小伟 , 张远云 , 董贵山 ,等. 关于新型智慧城市网络安全生命体的思考 [J]. 信息安全与通信保密 ,2023(4):113-124</w:t>
      </w:r>
      <w:r>
        <w:rPr>
          <w:rFonts w:hint="default"/>
          <w:lang w:val="en-US" w:eastAsia="zh-CN"/>
        </w:rPr>
        <w:t>.</w:t>
      </w:r>
      <w:bookmarkEnd w:id="48"/>
    </w:p>
    <w:p w14:paraId="07530B24">
      <w:pPr>
        <w:pStyle w:val="37"/>
        <w:numPr>
          <w:ilvl w:val="0"/>
          <w:numId w:val="1"/>
        </w:numPr>
        <w:ind w:left="0" w:firstLine="0" w:firstLineChars="0"/>
        <w:rPr>
          <w:rFonts w:hint="eastAsia"/>
        </w:rPr>
      </w:pPr>
      <w:bookmarkStart w:id="49" w:name="_Ref24560"/>
      <w:r>
        <w:rPr>
          <w:rFonts w:hint="default"/>
          <w:lang w:val="en-US" w:eastAsia="zh-CN"/>
        </w:rPr>
        <w:t>郭真, 申奇, 柳雨晨. 新型智慧城市数据安全研究与思考[J]. 信息通信技术与政策, 2021, 47(11): 20-25.</w:t>
      </w:r>
      <w:bookmarkEnd w:id="49"/>
    </w:p>
    <w:p w14:paraId="14205720">
      <w:pPr>
        <w:pStyle w:val="37"/>
        <w:numPr>
          <w:ilvl w:val="0"/>
          <w:numId w:val="1"/>
        </w:numPr>
        <w:ind w:left="0" w:firstLine="0" w:firstLineChars="0"/>
        <w:rPr>
          <w:rFonts w:hint="eastAsia"/>
        </w:rPr>
      </w:pPr>
      <w:bookmarkStart w:id="50" w:name="_Ref24743"/>
      <w:r>
        <w:rPr>
          <w:rFonts w:hint="default"/>
          <w:lang w:val="en-US" w:eastAsia="zh-CN"/>
        </w:rPr>
        <w:t xml:space="preserve">中共中央网络安全和信息化委员会办公室. 携手构建网络空间命运共同体(白皮书)[EB/OL].(2022-11-07)[2025-11-12]. </w:t>
      </w:r>
      <w:bookmarkEnd w:id="50"/>
    </w:p>
    <w:p w14:paraId="29F441DA">
      <w:pPr>
        <w:pStyle w:val="37"/>
        <w:numPr>
          <w:ilvl w:val="0"/>
          <w:numId w:val="1"/>
        </w:numPr>
        <w:ind w:left="0" w:firstLine="0" w:firstLineChars="0"/>
        <w:rPr>
          <w:rFonts w:hint="eastAsia"/>
        </w:rPr>
      </w:pPr>
      <w:bookmarkStart w:id="51" w:name="_Ref24844"/>
      <w:r>
        <w:rPr>
          <w:rFonts w:hint="eastAsia"/>
          <w:lang w:val="en-US" w:eastAsia="zh-CN"/>
        </w:rPr>
        <w:t xml:space="preserve">石佳友. 公共视频设备应用中的个人信息保护[EB/OL]. (2022-06-08)[2025-11-12]. </w:t>
      </w:r>
      <w:r>
        <w:rPr>
          <w:rFonts w:hint="eastAsia"/>
          <w:lang w:val="en-US" w:eastAsia="zh-CN"/>
        </w:rPr>
        <w:fldChar w:fldCharType="begin"/>
      </w:r>
      <w:r>
        <w:rPr>
          <w:rFonts w:hint="eastAsia"/>
          <w:lang w:val="en-US" w:eastAsia="zh-CN"/>
        </w:rPr>
        <w:instrText xml:space="preserve"> HYPERLINK "https://www.civillaw.com.cn/t/?id=38617." </w:instrText>
      </w:r>
      <w:r>
        <w:rPr>
          <w:rFonts w:hint="eastAsia"/>
          <w:lang w:val="en-US" w:eastAsia="zh-CN"/>
        </w:rPr>
        <w:fldChar w:fldCharType="separate"/>
      </w:r>
      <w:r>
        <w:rPr>
          <w:rStyle w:val="22"/>
          <w:rFonts w:hint="eastAsia"/>
          <w:lang w:val="en-US" w:eastAsia="zh-CN"/>
        </w:rPr>
        <w:t>https://www.civillaw.com.cn/t/?id=38617.</w:t>
      </w:r>
      <w:r>
        <w:rPr>
          <w:rFonts w:hint="eastAsia"/>
          <w:lang w:val="en-US" w:eastAsia="zh-CN"/>
        </w:rPr>
        <w:fldChar w:fldCharType="end"/>
      </w:r>
      <w:bookmarkEnd w:id="51"/>
    </w:p>
    <w:p w14:paraId="1E0EF6D7">
      <w:pPr>
        <w:pStyle w:val="37"/>
        <w:numPr>
          <w:ilvl w:val="0"/>
          <w:numId w:val="1"/>
        </w:numPr>
        <w:ind w:left="0" w:firstLine="0" w:firstLineChars="0"/>
        <w:rPr>
          <w:rFonts w:hint="eastAsia"/>
        </w:rPr>
      </w:pPr>
      <w:bookmarkStart w:id="52" w:name="_Ref24877"/>
      <w:r>
        <w:rPr>
          <w:rFonts w:hint="default"/>
          <w:lang w:val="en-US" w:eastAsia="zh-CN"/>
        </w:rPr>
        <w:t xml:space="preserve">曹树金, 王志红, 古婷骅. 智慧城市环境下个人信息安全保护问题分析及立法建议[J]. 图书情报知识, 2015(3): 35-45. </w:t>
      </w:r>
      <w:bookmarkEnd w:id="52"/>
    </w:p>
    <w:p w14:paraId="4F24AB9C">
      <w:pPr>
        <w:bidi w:val="0"/>
        <w:jc w:val="center"/>
        <w:rPr>
          <w:rFonts w:hint="eastAsia"/>
        </w:rPr>
      </w:pPr>
      <w:bookmarkStart w:id="53" w:name="_GoBack"/>
      <w:bookmarkEnd w:id="53"/>
    </w:p>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章静 黄" w:date="2025-11-17T19:55:00Z" w:initials="章黄">
    <w:p w14:paraId="2B539291">
      <w:pPr>
        <w:pStyle w:val="11"/>
        <w:ind w:firstLine="420"/>
      </w:pPr>
      <w:r>
        <w:rPr>
          <w:rFonts w:cs="Times New Roman"/>
        </w:rPr>
        <w:t>[3] 中共中央国务院. 关于完整准确全面贯彻新发展理念做好碳达峰碳中和工作的意见[M]. 人民出版社, 2021.</w:t>
      </w:r>
    </w:p>
  </w:comment>
  <w:comment w:id="1" w:author="章静 黄" w:date="2025-11-17T20:06:00Z" w:initials="章黄">
    <w:p w14:paraId="12985E9E">
      <w:pPr>
        <w:pStyle w:val="11"/>
        <w:ind w:firstLine="420"/>
      </w:pPr>
      <w:r>
        <w:rPr>
          <w:rFonts w:cs="Times New Roman"/>
        </w:rPr>
        <w:t xml:space="preserve">[6] 中国电子信息产业发展研究院网络安全研究所. </w:t>
      </w:r>
      <w:r>
        <w:rPr>
          <w:rFonts w:hint="eastAsia" w:cs="Times New Roman"/>
        </w:rPr>
        <w:t>我国</w:t>
      </w:r>
      <w:r>
        <w:rPr>
          <w:rFonts w:cs="Times New Roman"/>
        </w:rPr>
        <w:t>关键信息基础设施安全保护白皮书[R]. 202</w:t>
      </w:r>
      <w:r>
        <w:rPr>
          <w:rFonts w:hint="eastAsia" w:cs="Times New Roman"/>
        </w:rPr>
        <w:t>1</w:t>
      </w:r>
      <w:r>
        <w:rPr>
          <w:rFonts w:cs="Times New Roman"/>
        </w:rPr>
        <w:t>.</w:t>
      </w:r>
    </w:p>
  </w:comment>
  <w:comment w:id="2" w:author="章静 黄" w:date="2025-11-17T20:09:00Z" w:initials="章黄">
    <w:p w14:paraId="122EB2EB">
      <w:pPr>
        <w:pStyle w:val="11"/>
        <w:ind w:firstLine="420"/>
      </w:pPr>
      <w:r>
        <w:rPr>
          <w:rFonts w:cs="Times New Roman"/>
        </w:rPr>
        <w:t>[2] 中共中央国务院. 关于全面加强生态环境保护 坚决打好污染防治攻坚战的意见[M]. 人民出版社, 2018.</w:t>
      </w:r>
    </w:p>
  </w:comment>
  <w:comment w:id="3" w:author="章静 黄" w:date="2025-11-17T20:12:00Z" w:initials="章黄">
    <w:p w14:paraId="7E3B21E4">
      <w:pPr>
        <w:pStyle w:val="11"/>
        <w:ind w:firstLine="420"/>
      </w:pPr>
      <w:r>
        <w:rPr>
          <w:rFonts w:cs="Times New Roman"/>
        </w:rPr>
        <w:t>[5] 中国信息通信研究院. 数字碳中和白皮书（2024年）[R]. 2024.</w:t>
      </w:r>
    </w:p>
  </w:comment>
  <w:comment w:id="4" w:author="章静 黄" w:date="2025-11-17T20:14:00Z" w:initials="章黄">
    <w:p w14:paraId="59D7021B">
      <w:pPr>
        <w:pStyle w:val="11"/>
        <w:ind w:firstLine="420"/>
      </w:pPr>
      <w:r>
        <w:rPr>
          <w:rFonts w:cs="Times New Roman"/>
        </w:rPr>
        <w:t>[4] 中华人民共和国网络安全法[M]. 中国法制出版社, 2017.</w:t>
      </w:r>
    </w:p>
  </w:comment>
  <w:comment w:id="5" w:author="章静 黄" w:date="2025-11-17T20:14:00Z" w:initials="章黄">
    <w:p w14:paraId="1A3AE362">
      <w:pPr>
        <w:pStyle w:val="11"/>
        <w:ind w:firstLine="420"/>
      </w:pPr>
      <w:r>
        <w:rPr>
          <w:rFonts w:cs="Times New Roman"/>
        </w:rPr>
        <w:t xml:space="preserve">[6] 中国电子信息产业发展研究院网络安全研究所. </w:t>
      </w:r>
      <w:r>
        <w:rPr>
          <w:rFonts w:hint="eastAsia" w:cs="Times New Roman"/>
        </w:rPr>
        <w:t>我国</w:t>
      </w:r>
      <w:r>
        <w:rPr>
          <w:rFonts w:cs="Times New Roman"/>
        </w:rPr>
        <w:t>关键信息基础设施安全保护白皮书[R]. 202</w:t>
      </w:r>
      <w:r>
        <w:rPr>
          <w:rFonts w:hint="eastAsia" w:cs="Times New Roman"/>
        </w:rPr>
        <w:t>1</w:t>
      </w:r>
      <w:r>
        <w:rPr>
          <w:rFonts w:cs="Times New Roman"/>
        </w:rPr>
        <w:t>.</w:t>
      </w:r>
    </w:p>
  </w:comment>
  <w:comment w:id="6" w:author="章静 黄" w:date="2025-11-17T20:14:00Z" w:initials="章黄">
    <w:p w14:paraId="5612886F">
      <w:pPr>
        <w:pStyle w:val="11"/>
        <w:ind w:firstLine="420"/>
      </w:pPr>
      <w:r>
        <w:rPr>
          <w:rFonts w:cs="Times New Roman"/>
        </w:rPr>
        <w:t>[3] 中共中央国务院. 关于完整准确全面贯彻新发展理念做好碳达峰碳中和工作的意见[M]. 人民出版社, 2021.</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539291" w15:done="0"/>
  <w15:commentEx w15:paraId="12985E9E" w15:done="0"/>
  <w15:commentEx w15:paraId="122EB2EB" w15:done="0"/>
  <w15:commentEx w15:paraId="7E3B21E4" w15:done="0"/>
  <w15:commentEx w15:paraId="59D7021B" w15:done="0"/>
  <w15:commentEx w15:paraId="1A3AE362" w15:done="0"/>
  <w15:commentEx w15:paraId="5612886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137D8">
    <w:pPr>
      <w:pStyle w:val="1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93879">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AFED1">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FFE41">
    <w:pPr>
      <w:pStyle w:val="1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4F037">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69A1C">
    <w:pPr>
      <w:pStyle w:val="1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7A783F"/>
    <w:multiLevelType w:val="multilevel"/>
    <w:tmpl w:val="0F7A783F"/>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章静 黄">
    <w15:presenceInfo w15:providerId="Windows Live" w15:userId="f79b2b6401454e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A91"/>
    <w:rsid w:val="00000185"/>
    <w:rsid w:val="00034CE0"/>
    <w:rsid w:val="0005421F"/>
    <w:rsid w:val="00060F20"/>
    <w:rsid w:val="00066243"/>
    <w:rsid w:val="000C081C"/>
    <w:rsid w:val="00126444"/>
    <w:rsid w:val="001410CD"/>
    <w:rsid w:val="00145BBF"/>
    <w:rsid w:val="00154106"/>
    <w:rsid w:val="001978E9"/>
    <w:rsid w:val="001B1132"/>
    <w:rsid w:val="001D6DDD"/>
    <w:rsid w:val="001E78BD"/>
    <w:rsid w:val="00202D30"/>
    <w:rsid w:val="00217C37"/>
    <w:rsid w:val="00251942"/>
    <w:rsid w:val="00292C65"/>
    <w:rsid w:val="002E2190"/>
    <w:rsid w:val="002F3F0E"/>
    <w:rsid w:val="003061EA"/>
    <w:rsid w:val="00335C0A"/>
    <w:rsid w:val="0036688C"/>
    <w:rsid w:val="00370EE6"/>
    <w:rsid w:val="003A7323"/>
    <w:rsid w:val="00443F9D"/>
    <w:rsid w:val="00462B57"/>
    <w:rsid w:val="004D0A2C"/>
    <w:rsid w:val="004E4E06"/>
    <w:rsid w:val="004F0158"/>
    <w:rsid w:val="00593DDD"/>
    <w:rsid w:val="005B3E5E"/>
    <w:rsid w:val="005D45D2"/>
    <w:rsid w:val="005F0E34"/>
    <w:rsid w:val="00696D7D"/>
    <w:rsid w:val="006A7CAA"/>
    <w:rsid w:val="00730B0C"/>
    <w:rsid w:val="00741F16"/>
    <w:rsid w:val="00744F73"/>
    <w:rsid w:val="007E5DFC"/>
    <w:rsid w:val="007E6B51"/>
    <w:rsid w:val="00806744"/>
    <w:rsid w:val="0081283A"/>
    <w:rsid w:val="00880DFD"/>
    <w:rsid w:val="008837B5"/>
    <w:rsid w:val="00886C64"/>
    <w:rsid w:val="00943AC4"/>
    <w:rsid w:val="00983701"/>
    <w:rsid w:val="009A6048"/>
    <w:rsid w:val="009D35FB"/>
    <w:rsid w:val="009F17A0"/>
    <w:rsid w:val="00A57590"/>
    <w:rsid w:val="00AD5314"/>
    <w:rsid w:val="00AE3ACC"/>
    <w:rsid w:val="00B02D39"/>
    <w:rsid w:val="00B615E9"/>
    <w:rsid w:val="00B85142"/>
    <w:rsid w:val="00BD24B7"/>
    <w:rsid w:val="00BE3A91"/>
    <w:rsid w:val="00BE41AA"/>
    <w:rsid w:val="00C437C1"/>
    <w:rsid w:val="00CA7394"/>
    <w:rsid w:val="00E629FA"/>
    <w:rsid w:val="00E71B29"/>
    <w:rsid w:val="00F673CC"/>
    <w:rsid w:val="09684744"/>
    <w:rsid w:val="1A9A08B1"/>
    <w:rsid w:val="1E755764"/>
    <w:rsid w:val="2E183793"/>
    <w:rsid w:val="35E36D7D"/>
    <w:rsid w:val="3993210D"/>
    <w:rsid w:val="3EBC460F"/>
    <w:rsid w:val="557C5CBD"/>
    <w:rsid w:val="597D4C6F"/>
    <w:rsid w:val="60536729"/>
    <w:rsid w:val="6D162FB8"/>
    <w:rsid w:val="707D33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4"/>
    <w:qFormat/>
    <w:uiPriority w:val="9"/>
    <w:pPr>
      <w:keepNext/>
      <w:keepLines/>
      <w:spacing w:before="480" w:after="80"/>
      <w:ind w:firstLine="0" w:firstLineChars="0"/>
      <w:jc w:val="center"/>
      <w:outlineLvl w:val="0"/>
    </w:pPr>
    <w:rPr>
      <w:rFonts w:eastAsia="黑体" w:cstheme="majorBidi"/>
      <w:b/>
      <w:sz w:val="36"/>
      <w:szCs w:val="48"/>
    </w:rPr>
  </w:style>
  <w:style w:type="paragraph" w:styleId="3">
    <w:name w:val="heading 2"/>
    <w:basedOn w:val="1"/>
    <w:next w:val="1"/>
    <w:link w:val="25"/>
    <w:autoRedefine/>
    <w:unhideWhenUsed/>
    <w:qFormat/>
    <w:uiPriority w:val="9"/>
    <w:pPr>
      <w:keepNext/>
      <w:keepLines/>
      <w:spacing w:before="160" w:after="80"/>
      <w:ind w:firstLine="0" w:firstLineChars="0"/>
      <w:outlineLvl w:val="1"/>
    </w:pPr>
    <w:rPr>
      <w:rFonts w:eastAsia="黑体" w:cstheme="majorBidi"/>
      <w:b/>
      <w:sz w:val="28"/>
      <w:szCs w:val="40"/>
    </w:rPr>
  </w:style>
  <w:style w:type="paragraph" w:styleId="4">
    <w:name w:val="heading 3"/>
    <w:basedOn w:val="1"/>
    <w:next w:val="1"/>
    <w:link w:val="26"/>
    <w:autoRedefine/>
    <w:unhideWhenUsed/>
    <w:qFormat/>
    <w:uiPriority w:val="9"/>
    <w:pPr>
      <w:keepNext/>
      <w:keepLines/>
      <w:spacing w:before="160" w:after="80"/>
      <w:ind w:firstLine="0" w:firstLineChars="0"/>
      <w:outlineLvl w:val="2"/>
    </w:pPr>
    <w:rPr>
      <w:rFonts w:eastAsia="黑体" w:cstheme="majorBidi"/>
      <w:b/>
      <w:color w:val="000000" w:themeColor="text1"/>
      <w:szCs w:val="32"/>
      <w14:textFill>
        <w14:solidFill>
          <w14:schemeClr w14:val="tx1"/>
        </w14:solidFill>
      </w14:textFill>
    </w:rPr>
  </w:style>
  <w:style w:type="paragraph" w:styleId="5">
    <w:name w:val="heading 4"/>
    <w:basedOn w:val="1"/>
    <w:next w:val="1"/>
    <w:link w:val="27"/>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2F5597" w:themeColor="accent1" w:themeShade="BF"/>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4"/>
    <w:qFormat/>
    <w:uiPriority w:val="0"/>
    <w:pPr>
      <w:jc w:val="left"/>
    </w:pPr>
    <w:rPr>
      <w:szCs w:val="24"/>
    </w:rPr>
  </w:style>
  <w:style w:type="paragraph" w:styleId="12">
    <w:name w:val="toc 3"/>
    <w:basedOn w:val="1"/>
    <w:next w:val="1"/>
    <w:autoRedefine/>
    <w:unhideWhenUsed/>
    <w:qFormat/>
    <w:uiPriority w:val="39"/>
    <w:pPr>
      <w:ind w:left="840" w:leftChars="400"/>
    </w:pPr>
  </w:style>
  <w:style w:type="paragraph" w:styleId="13">
    <w:name w:val="footer"/>
    <w:basedOn w:val="1"/>
    <w:link w:val="43"/>
    <w:unhideWhenUsed/>
    <w:qFormat/>
    <w:uiPriority w:val="99"/>
    <w:pPr>
      <w:tabs>
        <w:tab w:val="center" w:pos="4153"/>
        <w:tab w:val="right" w:pos="8306"/>
      </w:tabs>
      <w:snapToGrid w:val="0"/>
      <w:jc w:val="left"/>
    </w:pPr>
    <w:rPr>
      <w:sz w:val="18"/>
      <w:szCs w:val="18"/>
    </w:rPr>
  </w:style>
  <w:style w:type="paragraph" w:styleId="14">
    <w:name w:val="header"/>
    <w:basedOn w:val="1"/>
    <w:link w:val="42"/>
    <w:unhideWhenUsed/>
    <w:qFormat/>
    <w:uiPriority w:val="99"/>
    <w:pPr>
      <w:tabs>
        <w:tab w:val="center" w:pos="4153"/>
        <w:tab w:val="right" w:pos="8306"/>
      </w:tabs>
      <w:snapToGrid w:val="0"/>
      <w:jc w:val="center"/>
    </w:pPr>
    <w:rPr>
      <w:sz w:val="18"/>
      <w:szCs w:val="18"/>
    </w:rPr>
  </w:style>
  <w:style w:type="paragraph" w:styleId="15">
    <w:name w:val="toc 1"/>
    <w:basedOn w:val="1"/>
    <w:next w:val="1"/>
    <w:autoRedefine/>
    <w:unhideWhenUsed/>
    <w:qFormat/>
    <w:uiPriority w:val="39"/>
  </w:style>
  <w:style w:type="paragraph" w:styleId="16">
    <w:name w:val="Subtitle"/>
    <w:basedOn w:val="1"/>
    <w:next w:val="1"/>
    <w:link w:val="34"/>
    <w:qFormat/>
    <w:uiPriority w:val="11"/>
    <w:pPr>
      <w:spacing w:after="160"/>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autoRedefine/>
    <w:unhideWhenUsed/>
    <w:qFormat/>
    <w:uiPriority w:val="39"/>
    <w:pPr>
      <w:ind w:left="420" w:leftChars="200"/>
    </w:p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9">
    <w:name w:val="annotation subject"/>
    <w:basedOn w:val="11"/>
    <w:next w:val="11"/>
    <w:link w:val="46"/>
    <w:semiHidden/>
    <w:unhideWhenUsed/>
    <w:qFormat/>
    <w:uiPriority w:val="99"/>
    <w:rPr>
      <w:b/>
      <w:bCs/>
      <w:szCs w:val="22"/>
    </w:rPr>
  </w:style>
  <w:style w:type="character" w:styleId="22">
    <w:name w:val="Hyperlink"/>
    <w:basedOn w:val="21"/>
    <w:qFormat/>
    <w:uiPriority w:val="99"/>
    <w:rPr>
      <w:color w:val="0000FF"/>
      <w:u w:val="single"/>
    </w:rPr>
  </w:style>
  <w:style w:type="character" w:styleId="23">
    <w:name w:val="annotation reference"/>
    <w:basedOn w:val="21"/>
    <w:semiHidden/>
    <w:unhideWhenUsed/>
    <w:qFormat/>
    <w:uiPriority w:val="99"/>
    <w:rPr>
      <w:sz w:val="21"/>
      <w:szCs w:val="21"/>
    </w:rPr>
  </w:style>
  <w:style w:type="character" w:customStyle="1" w:styleId="24">
    <w:name w:val="标题 1 字符"/>
    <w:basedOn w:val="21"/>
    <w:link w:val="2"/>
    <w:qFormat/>
    <w:uiPriority w:val="9"/>
    <w:rPr>
      <w:rFonts w:ascii="Times New Roman" w:hAnsi="Times New Roman" w:eastAsia="黑体" w:cstheme="majorBidi"/>
      <w:b/>
      <w:sz w:val="36"/>
      <w:szCs w:val="48"/>
    </w:rPr>
  </w:style>
  <w:style w:type="character" w:customStyle="1" w:styleId="25">
    <w:name w:val="标题 2 字符"/>
    <w:basedOn w:val="21"/>
    <w:link w:val="3"/>
    <w:qFormat/>
    <w:uiPriority w:val="9"/>
    <w:rPr>
      <w:rFonts w:ascii="Times New Roman" w:hAnsi="Times New Roman" w:eastAsia="黑体" w:cstheme="majorBidi"/>
      <w:b/>
      <w:sz w:val="28"/>
      <w:szCs w:val="40"/>
    </w:rPr>
  </w:style>
  <w:style w:type="character" w:customStyle="1" w:styleId="26">
    <w:name w:val="标题 3 字符"/>
    <w:basedOn w:val="21"/>
    <w:link w:val="4"/>
    <w:qFormat/>
    <w:uiPriority w:val="9"/>
    <w:rPr>
      <w:rFonts w:ascii="Times New Roman" w:hAnsi="Times New Roman" w:eastAsia="黑体" w:cstheme="majorBidi"/>
      <w:b/>
      <w:color w:val="000000" w:themeColor="text1"/>
      <w:sz w:val="24"/>
      <w:szCs w:val="32"/>
      <w14:textFill>
        <w14:solidFill>
          <w14:schemeClr w14:val="tx1"/>
        </w14:solidFill>
      </w14:textFill>
    </w:rPr>
  </w:style>
  <w:style w:type="character" w:customStyle="1" w:styleId="27">
    <w:name w:val="标题 4 字符"/>
    <w:basedOn w:val="21"/>
    <w:link w:val="5"/>
    <w:semiHidden/>
    <w:qFormat/>
    <w:uiPriority w:val="9"/>
    <w:rPr>
      <w:rFonts w:cstheme="majorBidi"/>
      <w:color w:val="2F5597" w:themeColor="accent1" w:themeShade="BF"/>
      <w:sz w:val="28"/>
      <w:szCs w:val="28"/>
    </w:rPr>
  </w:style>
  <w:style w:type="character" w:customStyle="1" w:styleId="28">
    <w:name w:val="标题 5 字符"/>
    <w:basedOn w:val="21"/>
    <w:link w:val="6"/>
    <w:semiHidden/>
    <w:qFormat/>
    <w:uiPriority w:val="9"/>
    <w:rPr>
      <w:rFonts w:cstheme="majorBidi"/>
      <w:color w:val="2F5597" w:themeColor="accent1" w:themeShade="BF"/>
      <w:sz w:val="24"/>
      <w:szCs w:val="24"/>
    </w:rPr>
  </w:style>
  <w:style w:type="character" w:customStyle="1" w:styleId="29">
    <w:name w:val="标题 6 字符"/>
    <w:basedOn w:val="21"/>
    <w:link w:val="7"/>
    <w:semiHidden/>
    <w:qFormat/>
    <w:uiPriority w:val="9"/>
    <w:rPr>
      <w:rFonts w:cstheme="majorBidi"/>
      <w:b/>
      <w:bCs/>
      <w:color w:val="2F5597" w:themeColor="accent1" w:themeShade="BF"/>
    </w:rPr>
  </w:style>
  <w:style w:type="character" w:customStyle="1" w:styleId="30">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2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明显引用 字符"/>
    <w:basedOn w:val="21"/>
    <w:link w:val="39"/>
    <w:qFormat/>
    <w:uiPriority w:val="30"/>
    <w:rPr>
      <w:i/>
      <w:iCs/>
      <w:color w:val="2F5597" w:themeColor="accent1" w:themeShade="BF"/>
    </w:rPr>
  </w:style>
  <w:style w:type="character" w:customStyle="1" w:styleId="41">
    <w:name w:val="Intense Reference"/>
    <w:basedOn w:val="21"/>
    <w:qFormat/>
    <w:uiPriority w:val="32"/>
    <w:rPr>
      <w:b/>
      <w:bCs/>
      <w:smallCaps/>
      <w:color w:val="2F5597" w:themeColor="accent1" w:themeShade="BF"/>
      <w:spacing w:val="5"/>
    </w:rPr>
  </w:style>
  <w:style w:type="character" w:customStyle="1" w:styleId="42">
    <w:name w:val="页眉 字符"/>
    <w:basedOn w:val="21"/>
    <w:link w:val="14"/>
    <w:qFormat/>
    <w:uiPriority w:val="99"/>
    <w:rPr>
      <w:sz w:val="18"/>
      <w:szCs w:val="18"/>
    </w:rPr>
  </w:style>
  <w:style w:type="character" w:customStyle="1" w:styleId="43">
    <w:name w:val="页脚 字符"/>
    <w:basedOn w:val="21"/>
    <w:link w:val="13"/>
    <w:qFormat/>
    <w:uiPriority w:val="99"/>
    <w:rPr>
      <w:sz w:val="18"/>
      <w:szCs w:val="18"/>
    </w:rPr>
  </w:style>
  <w:style w:type="character" w:customStyle="1" w:styleId="44">
    <w:name w:val="批注文字 字符"/>
    <w:basedOn w:val="21"/>
    <w:link w:val="11"/>
    <w:qFormat/>
    <w:uiPriority w:val="0"/>
    <w:rPr>
      <w:rFonts w:ascii="Times New Roman" w:hAnsi="Times New Roman" w:eastAsia="宋体"/>
      <w:sz w:val="24"/>
      <w:szCs w:val="24"/>
    </w:rPr>
  </w:style>
  <w:style w:type="character" w:customStyle="1" w:styleId="45">
    <w:name w:val="Unresolved Mention"/>
    <w:basedOn w:val="21"/>
    <w:semiHidden/>
    <w:unhideWhenUsed/>
    <w:qFormat/>
    <w:uiPriority w:val="99"/>
    <w:rPr>
      <w:color w:val="605E5C"/>
      <w:shd w:val="clear" w:color="auto" w:fill="E1DFDD"/>
    </w:rPr>
  </w:style>
  <w:style w:type="character" w:customStyle="1" w:styleId="46">
    <w:name w:val="批注主题 字符"/>
    <w:basedOn w:val="44"/>
    <w:link w:val="19"/>
    <w:semiHidden/>
    <w:qFormat/>
    <w:uiPriority w:val="99"/>
    <w:rPr>
      <w:rFonts w:ascii="Times New Roman" w:hAnsi="Times New Roman" w:eastAsia="宋体"/>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01C83-B022-470C-B45C-1A784648E1D1}">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10251</Words>
  <Characters>10638</Characters>
  <Lines>111</Lines>
  <Paragraphs>31</Paragraphs>
  <TotalTime>0</TotalTime>
  <ScaleCrop>false</ScaleCrop>
  <LinksUpToDate>false</LinksUpToDate>
  <CharactersWithSpaces>10834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2025-11-17T10:24:00Z</dcterms:created>
  <dc:creator>淼 卢</dc:creator>
  <cp:lastModifiedBy>一叶知秋</cp:lastModifiedBy>
  <dcterms:modified xsi:type="dcterms:W3CDTF">2025-11-17T13:30:31Z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eyJoZGlkIjoiZDg0ZWQzMDlkZDkwNTMyN2Y1MTcwMzM3YWQ5ZTM0Y2UiLCJ1c2VySWQiOiIxMjg3NjQxNjcwIn0=</vt:lpwstr>
  </property>
  <property fmtid="{D5CDD505-2E9C-101B-9397-08002B2CF9AE}" pid="3" name="KSOProductBuildVer">
    <vt:lpwstr>2052-12.1.0.23542</vt:lpwstr>
  </property>
  <property fmtid="{D5CDD505-2E9C-101B-9397-08002B2CF9AE}" pid="4" name="ICV">
    <vt:lpwstr>9E07DCB46C1A49A0BA30D698238CFB86_13</vt:lpwstr>
  </property>
</Properties>
</file>