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025AB7">
      <w:pPr>
        <w:pStyle w:val="2"/>
        <w:bidi w:val="0"/>
        <w:rPr>
          <w:rFonts w:hint="eastAsia"/>
        </w:rPr>
      </w:pPr>
      <w:r>
        <w:rPr>
          <w:rFonts w:hint="eastAsia"/>
          <w:lang w:val="en-US" w:eastAsia="zh-CN"/>
        </w:rPr>
        <w:t>2</w:t>
      </w:r>
      <w:r>
        <w:rPr>
          <w:rFonts w:hint="eastAsia"/>
        </w:rPr>
        <w:t>智慧城市治理现代化与政治安全</w:t>
      </w:r>
    </w:p>
    <w:p w14:paraId="47FE86B3">
      <w:pPr>
        <w:ind w:firstLine="480" w:firstLineChars="200"/>
        <w:rPr>
          <w:rFonts w:hint="eastAsia"/>
        </w:rPr>
      </w:pPr>
      <w:r>
        <w:rPr>
          <w:rFonts w:hint="eastAsia"/>
        </w:rPr>
        <w:t>智慧城市建设是推进国家治理体系和治理能力现代化的重要战略平台。习近平总书记强调，要“加快智慧城市建设步伐，构建城市运行和治理智能中枢”</w:t>
      </w:r>
      <w:r>
        <w:rPr>
          <w:rFonts w:hint="eastAsia"/>
          <w:lang w:val="en-US" w:eastAsia="zh-CN"/>
        </w:rPr>
        <w:t>[12]</w:t>
      </w:r>
      <w:r>
        <w:rPr>
          <w:rFonts w:hint="eastAsia"/>
        </w:rPr>
        <w:t>。</w:t>
      </w:r>
      <w:r>
        <w:rPr>
          <w:rFonts w:ascii="宋体" w:hAnsi="宋体" w:eastAsia="宋体" w:cs="宋体"/>
          <w:sz w:val="24"/>
          <w:szCs w:val="24"/>
        </w:rPr>
        <w:t>在数字技术的驱动下，智慧城市通过强化数据要素的运用，正在构建一种以数据驱动决策、管理及创新的新型治理范式，这显著提升了政府服务效能与决策的科学性。此进程不仅是技术层面的革新，更被视为新时代中国特色社会主义政治建设在城市治理维度的深度实践，反映了执政党运用现代科技提升治理能力、巩固执政基础的战略考量。</w:t>
      </w:r>
    </w:p>
    <w:p w14:paraId="33631A03">
      <w:pPr>
        <w:bidi w:val="0"/>
        <w:ind w:firstLine="480" w:firstLineChars="200"/>
        <w:rPr>
          <w:rFonts w:hint="eastAsia" w:eastAsiaTheme="minorEastAsia"/>
          <w:lang w:val="en-US" w:eastAsia="zh-CN"/>
        </w:rPr>
      </w:pPr>
      <w:r>
        <w:rPr>
          <w:rFonts w:hint="eastAsia" w:eastAsiaTheme="minorEastAsia"/>
          <w:lang w:val="en-US" w:eastAsia="zh-CN"/>
        </w:rPr>
        <w:t>然而，智慧城市固有的高度数字化、网络化与智能化特征，使其在作为治理现代化关键驱动力的同时，也构成了国家安全风险的显著倍增器。智慧系统所呈现的内在脆弱性、数据的高度集中性以及网络的开放性，使其易于成为外部敌对势力实施渗透、攻击与窃密的高价值目标。</w:t>
      </w:r>
    </w:p>
    <w:p w14:paraId="658B3DD0">
      <w:pPr>
        <w:bidi w:val="0"/>
        <w:ind w:firstLine="480" w:firstLineChars="200"/>
        <w:rPr>
          <w:rFonts w:hint="eastAsia" w:eastAsiaTheme="minorEastAsia"/>
          <w:lang w:val="en-US" w:eastAsia="zh-CN"/>
        </w:rPr>
      </w:pPr>
      <w:r>
        <w:rPr>
          <w:rFonts w:hint="eastAsia" w:eastAsiaTheme="minorEastAsia"/>
          <w:lang w:val="en-US" w:eastAsia="zh-CN"/>
        </w:rPr>
        <w:t>本研究主张，智慧城市的网络安全议题已超越传统的技术防护范畴，演变为关乎政治安全、意识形态安全与政权安全的数字领域前沿阵地。因此，本章的核心旨趣在于，深入剖析智慧城市在政治建设维度所面临的核心风险，并立足于巩固党的执政基础这一根本出发点，探究以网络安全保障并强化政治建设的实现路径。</w:t>
      </w:r>
    </w:p>
    <w:p w14:paraId="76087C16">
      <w:pPr>
        <w:bidi w:val="0"/>
        <w:ind w:firstLine="480" w:firstLineChars="200"/>
        <w:rPr>
          <w:rFonts w:hint="eastAsia" w:eastAsiaTheme="minorEastAsia"/>
          <w:lang w:val="en-US" w:eastAsia="zh-CN"/>
        </w:rPr>
      </w:pPr>
      <w:r>
        <w:rPr>
          <w:rFonts w:hint="eastAsia" w:eastAsiaTheme="minorEastAsia"/>
          <w:lang w:val="en-US" w:eastAsia="zh-CN"/>
        </w:rPr>
        <w:t>智慧城市实现了物理空间与数字空间的深度融合，创造了前所未有的治理效能，但同时也催生了高度伴生的政治及治理风险。这些风险集中显现于关键信息基础设施（CII）安全、网络意识形态管控和数据主权维护三个核心维度。</w:t>
      </w:r>
    </w:p>
    <w:p w14:paraId="30038F4A">
      <w:pPr>
        <w:pStyle w:val="3"/>
        <w:bidi w:val="0"/>
        <w:rPr>
          <w:rFonts w:hint="eastAsia"/>
        </w:rPr>
      </w:pPr>
      <w:r>
        <w:rPr>
          <w:rFonts w:hint="eastAsia"/>
          <w:lang w:val="en-US" w:eastAsia="zh-CN"/>
        </w:rPr>
        <w:t>2.1</w:t>
      </w:r>
      <w:r>
        <w:rPr>
          <w:rFonts w:hint="eastAsia"/>
        </w:rPr>
        <w:t>政治与治理风险分析</w:t>
      </w:r>
    </w:p>
    <w:p w14:paraId="20DD2E33">
      <w:pPr>
        <w:ind w:firstLine="480" w:firstLineChars="200"/>
        <w:rPr>
          <w:rFonts w:hint="eastAsia"/>
        </w:rPr>
      </w:pPr>
      <w:r>
        <w:rPr>
          <w:rFonts w:hint="eastAsia"/>
        </w:rPr>
        <w:t>智慧城市在实现物理空间与数字空间深度融合、创造显著治理效能的同时，亦引致了高度伴生的政治与治理风险。此等风险集中显现于关键信息基础设施（CII）、网络意识形态及数据主权三个核心维度。</w:t>
      </w:r>
    </w:p>
    <w:p w14:paraId="502FB898">
      <w:pPr>
        <w:pStyle w:val="4"/>
        <w:bidi w:val="0"/>
        <w:rPr>
          <w:rFonts w:hint="default" w:eastAsiaTheme="minorEastAsia"/>
          <w:lang w:val="en-US" w:eastAsia="zh-CN"/>
        </w:rPr>
      </w:pPr>
      <w:r>
        <w:rPr>
          <w:rFonts w:hint="eastAsia"/>
          <w:lang w:val="en-US" w:eastAsia="zh-CN"/>
        </w:rPr>
        <w:t>2.1.1</w:t>
      </w:r>
      <w:r>
        <w:rPr>
          <w:rFonts w:hint="eastAsia"/>
        </w:rPr>
        <w:t>关键信息基础设施</w:t>
      </w:r>
      <w:r>
        <w:rPr>
          <w:rFonts w:hint="eastAsia"/>
          <w:lang w:val="en-US" w:eastAsia="zh-CN"/>
        </w:rPr>
        <w:t>安全问题</w:t>
      </w:r>
    </w:p>
    <w:p w14:paraId="6518B742">
      <w:pPr>
        <w:ind w:firstLine="480" w:firstLineChars="200"/>
        <w:rPr>
          <w:rFonts w:hint="eastAsia"/>
        </w:rPr>
      </w:pPr>
      <w:commentRangeStart w:id="0"/>
      <w:r>
        <w:rPr>
          <w:rFonts w:hint="eastAsia"/>
        </w:rPr>
        <w:t>智慧城市的运行高度依赖于一个复杂的CII生态系统，包括政府办公系统、应急指挥系统、公共通信网络、能源与交通调度系统</w:t>
      </w:r>
      <w:r>
        <w:rPr>
          <w:rFonts w:hint="eastAsia"/>
          <w:lang w:eastAsia="zh-CN"/>
        </w:rPr>
        <w:t>。</w:t>
      </w:r>
      <w:r>
        <w:rPr>
          <w:rFonts w:hint="eastAsia"/>
        </w:rPr>
        <w:t>等</w:t>
      </w:r>
      <w:r>
        <w:rPr>
          <w:rFonts w:ascii="宋体" w:hAnsi="宋体" w:eastAsia="宋体" w:cs="宋体"/>
          <w:sz w:val="24"/>
          <w:szCs w:val="24"/>
        </w:rPr>
        <w:t>这些设施可视为国家治理能力在数字空间的延伸，其一旦遭受攻击，后果将极其严重</w:t>
      </w:r>
      <w:r>
        <w:rPr>
          <w:rFonts w:hint="eastAsia"/>
        </w:rPr>
        <w:t>。</w:t>
      </w:r>
      <w:commentRangeEnd w:id="0"/>
      <w:r>
        <w:commentReference w:id="0"/>
      </w:r>
    </w:p>
    <w:p w14:paraId="2F2AA9C6">
      <w:pPr>
        <w:ind w:firstLine="480" w:firstLineChars="200"/>
        <w:rPr>
          <w:rFonts w:hint="eastAsia"/>
        </w:rPr>
      </w:pPr>
      <w:r>
        <w:rPr>
          <w:rFonts w:hint="eastAsia"/>
        </w:rPr>
        <w:t>首先，针对CII的攻击可直接导致治理瘫痪或失效。以2021年美国Colonial Pipeline事件为例，其工控系统遭勒索软件攻击，致使关键管道运营中断及大量数据被窃[7]。此类攻击若发生在政府决策或应急指挥中枢，将可能引致决策链中断与响应失效，在重大突发事件中诱发社会秩序紊乱。其次，针对医疗、电力、通信等民生CII的攻击，亦将直接冲击社会稳定，损害政府公信力与公众安全感。</w:t>
      </w:r>
    </w:p>
    <w:p w14:paraId="162C8776">
      <w:pPr>
        <w:bidi w:val="0"/>
        <w:ind w:firstLine="480" w:firstLineChars="200"/>
        <w:rPr>
          <w:rFonts w:hint="eastAsia"/>
          <w:lang w:val="en-US" w:eastAsia="zh-CN"/>
        </w:rPr>
      </w:pPr>
      <w:r>
        <w:rPr>
          <w:rFonts w:hint="eastAsia"/>
          <w:lang w:val="en-US" w:eastAsia="zh-CN"/>
        </w:rPr>
        <w:t>更深层次的风险源于供应链安全。网络产品集成度提升与供应链全球化，使得智慧城市CII在底层技术、核心组件及软件系统上可能存在对外依赖。在地缘政治冲突背景下，此类供应链脆弱性或可导致系统性、全局性瘫痪。因此，CII的自主可控已超越单纯的经济或产业议题，上升为重大的政治安全问题。</w:t>
      </w:r>
    </w:p>
    <w:p w14:paraId="7A9BC0BF">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rPr>
      </w:pPr>
      <w:r>
        <w:rPr>
          <w:rFonts w:hint="eastAsia"/>
          <w:lang w:val="en-US" w:eastAsia="zh-CN"/>
        </w:rPr>
        <w:t>2.1.2</w:t>
      </w:r>
      <w:r>
        <w:rPr>
          <w:rFonts w:hint="eastAsia"/>
        </w:rPr>
        <w:t>网络渗透与意识形态安全</w:t>
      </w:r>
    </w:p>
    <w:p w14:paraId="71C9DECF">
      <w:pPr>
        <w:ind w:firstLine="480" w:firstLineChars="200"/>
        <w:rPr>
          <w:rFonts w:hint="eastAsia"/>
        </w:rPr>
      </w:pPr>
      <w:r>
        <w:rPr>
          <w:rFonts w:hint="eastAsia"/>
        </w:rPr>
        <w:t>智慧城市便捷的信息传播网络，在服务民生的同时，也为意识形态渗透提供了便利条件。外部势力可利用智慧城市的开放性，通过社交媒体、公共服务平台等渠道，进行隐蔽的思想渗透、传播虚假信息、煽动社会对立，对意识形态安全与社会稳定构成威胁。</w:t>
      </w:r>
    </w:p>
    <w:p w14:paraId="7F6AA6F2">
      <w:pPr>
        <w:ind w:firstLine="480" w:firstLineChars="200"/>
        <w:rPr>
          <w:rFonts w:hint="eastAsia"/>
        </w:rPr>
      </w:pPr>
      <w:r>
        <w:rPr>
          <w:rFonts w:hint="eastAsia"/>
        </w:rPr>
        <w:t>数字化时代的突发事件网络舆情呈现出高度复杂性与不可预测性，传统的纵向事后处置模式已难有效应对。特别是AIGC（生成式人工智能）技术的兴起，推动意识形态博弈进入智能化阶段。AIGC可被用于生成具有专业性、权威性乃至情感迷惑性的虚拟信息源[11]。敌对势力可利用该技术，低成本、高效率地大规模制造和传播高度仿真的虚假信息与煽动性话语，其隐蔽性、迷惑性与影响力远超传统模式。这对现有的舆情监测与引导机制构成了非对称挑战，是意识形态安全领域值得高度警惕的新变量。</w:t>
      </w:r>
    </w:p>
    <w:p w14:paraId="01B249CB">
      <w:pPr>
        <w:pStyle w:val="4"/>
        <w:bidi w:val="0"/>
        <w:rPr>
          <w:rFonts w:hint="eastAsia"/>
        </w:rPr>
      </w:pPr>
      <w:r>
        <w:rPr>
          <w:rFonts w:hint="eastAsia"/>
          <w:lang w:val="en-US" w:eastAsia="zh-CN"/>
        </w:rPr>
        <w:t>2.1.3</w:t>
      </w:r>
      <w:r>
        <w:rPr>
          <w:rFonts w:hint="eastAsia"/>
        </w:rPr>
        <w:t>数据主权挑战</w:t>
      </w:r>
    </w:p>
    <w:p w14:paraId="5FCE8C39">
      <w:pPr>
        <w:ind w:firstLine="480" w:firstLineChars="200"/>
        <w:rPr>
          <w:rFonts w:hint="eastAsia"/>
        </w:rPr>
      </w:pPr>
      <w:r>
        <w:rPr>
          <w:rFonts w:hint="eastAsia"/>
        </w:rPr>
        <w:t>数据是数字时代的关键战略资源，亦是国家治理的核心资产。相关研究明确指出，数据主权（Data Sovereignty）已事关国家总体安全[6]。智慧城市作为海量政务、民生、经济及地理空间数据的汇聚节点，其数据若通过云服务、物联网等途径被境外势力窃取，将产生严重的政治与军事后果。</w:t>
      </w:r>
    </w:p>
    <w:p w14:paraId="12747D1C">
      <w:pPr>
        <w:ind w:firstLine="480" w:firstLineChars="200"/>
        <w:rPr>
          <w:rFonts w:hint="eastAsia"/>
        </w:rPr>
      </w:pPr>
      <w:r>
        <w:rPr>
          <w:rFonts w:hint="eastAsia"/>
        </w:rPr>
        <w:t>历史与现实案例表明，数据不仅具有经济价值，更可用于心理对抗（如策反）与军事目标识别（如特定软件暴露军事基地）。随着智慧城市建设迈向数字孪生与CIM（城市信息模型）阶段，城市物理、时空、业务等全要素正被精准映射至数字空间[8]。若此承载城市运行逻辑的数字孪生体被对手掌握，其不仅能感知城市状态，更能进行仿真推演[11,12]，如模拟CII攻击路径、推演社会秩序扰动方案，或在战时对国防动员能力实施精准打击。因此，捍卫智慧城市的数据主权，实质是捍卫国家在数字空间的主权，是政治安全的基石。</w:t>
      </w:r>
    </w:p>
    <w:p w14:paraId="0EB425FB">
      <w:pPr>
        <w:pStyle w:val="3"/>
        <w:bidi w:val="0"/>
        <w:spacing w:line="240" w:lineRule="auto"/>
        <w:rPr>
          <w:rFonts w:hint="eastAsia"/>
        </w:rPr>
      </w:pPr>
      <w:r>
        <w:rPr>
          <w:rFonts w:hint="eastAsia"/>
          <w:lang w:val="en-US" w:eastAsia="zh-CN"/>
        </w:rPr>
        <w:t>2.2</w:t>
      </w:r>
      <w:r>
        <w:rPr>
          <w:rFonts w:hint="eastAsia"/>
        </w:rPr>
        <w:t>安全赋能政治建设路径</w:t>
      </w:r>
    </w:p>
    <w:p w14:paraId="1A6FBD8B">
      <w:pPr>
        <w:ind w:firstLine="480" w:firstLineChars="200"/>
        <w:rPr>
          <w:rFonts w:hint="eastAsia"/>
        </w:rPr>
      </w:pPr>
      <w:r>
        <w:rPr>
          <w:rFonts w:hint="eastAsia"/>
        </w:rPr>
        <w:t>面对智慧城市带来的严峻政治安全挑战，亟需实现从被动防御向主动赋能的战略转变，将网络安全能力建设全面融入政治建设进程，以高水平安全保障高质量治理，从而巩固数字时代的执政基础。</w:t>
      </w:r>
    </w:p>
    <w:p w14:paraId="52BDF752">
      <w:pPr>
        <w:pStyle w:val="4"/>
        <w:bidi w:val="0"/>
        <w:rPr>
          <w:rFonts w:hint="eastAsia"/>
        </w:rPr>
      </w:pPr>
      <w:r>
        <w:rPr>
          <w:rFonts w:hint="eastAsia"/>
          <w:lang w:val="en-US" w:eastAsia="zh-CN"/>
        </w:rPr>
        <w:t>2.2.1</w:t>
      </w:r>
      <w:r>
        <w:rPr>
          <w:rFonts w:hint="eastAsia"/>
        </w:rPr>
        <w:t>强化电子政务安全</w:t>
      </w:r>
    </w:p>
    <w:p w14:paraId="1189766D">
      <w:pPr>
        <w:bidi w:val="0"/>
        <w:ind w:firstLine="480" w:firstLineChars="200"/>
        <w:rPr>
          <w:rFonts w:hint="eastAsia"/>
        </w:rPr>
      </w:pPr>
      <w:r>
        <w:rPr>
          <w:rFonts w:hint="eastAsia"/>
        </w:rPr>
        <w:t>应对CII脆弱性与供应链安全挑战，根本路径在于构建自主可控、安全可靠的政务云及政务网络。此举首要是一项政治任务，其核心是全面推进信息技术应用创新（简称“信创”）体系的国产化替代。根据相关规划，党政机关及金融、电信、电力等关键行业的国产化替代正在加速，旨在实现核心领域的全面替换。信创的本质是确保国家在数字时代对关键基础设施的控制权，是一项具有高度政治优先级的建设工程。</w:t>
      </w:r>
    </w:p>
    <w:p w14:paraId="4C26DF6E">
      <w:pPr>
        <w:bidi w:val="0"/>
        <w:ind w:firstLine="480" w:firstLineChars="200"/>
        <w:rPr>
          <w:rFonts w:hint="eastAsia"/>
        </w:rPr>
      </w:pPr>
      <w:r>
        <w:rPr>
          <w:rFonts w:hint="eastAsia"/>
        </w:rPr>
        <w:t xml:space="preserve">在技术路径上，必须从被动防御转向主动防御，全面部署城市安全大脑[2,10]。通过引入覆盖数据全生命周期（从采集、传输、存储到处理、销毁）的安全中枢，旨在实现立体化防护、智能化分析与可视化交互[9]。该体系运用人工智能与大数据技术，达成全网态势感知、威胁智能研判及自动化应急响应，保障政府决策与响应在安全可靠的环境中运行。 </w:t>
      </w:r>
    </w:p>
    <w:p w14:paraId="3E2245AA">
      <w:pPr>
        <w:pStyle w:val="4"/>
        <w:bidi w:val="0"/>
        <w:rPr>
          <w:rFonts w:hint="eastAsia"/>
        </w:rPr>
      </w:pPr>
      <w:r>
        <w:rPr>
          <w:rFonts w:hint="eastAsia"/>
          <w:lang w:val="en-US" w:eastAsia="zh-CN"/>
        </w:rPr>
        <w:t>2.2.2</w:t>
      </w:r>
      <w:r>
        <w:rPr>
          <w:rFonts w:hint="eastAsia"/>
        </w:rPr>
        <w:t>构建网络空间命运共同体下的自主防线</w:t>
      </w:r>
    </w:p>
    <w:p w14:paraId="3A853589">
      <w:pPr>
        <w:bidi w:val="0"/>
        <w:ind w:firstLine="480" w:firstLineChars="200"/>
        <w:rPr>
          <w:rFonts w:hint="eastAsia"/>
        </w:rPr>
      </w:pPr>
      <w:r>
        <w:rPr>
          <w:rFonts w:hint="eastAsia"/>
        </w:rPr>
        <w:t>应对数据主权挑战，必须采取双轨并行的策略。对外，需积极参与全球数字治理，倡导网络空间命运共同体理念，推动《全球数据安全倡议》，在国际场域倡导主权平等与遵守国际法治的治理新秩序[5]。</w:t>
      </w:r>
    </w:p>
    <w:p w14:paraId="50B6B582">
      <w:pPr>
        <w:bidi w:val="0"/>
        <w:ind w:firstLine="480" w:firstLineChars="200"/>
        <w:rPr>
          <w:rFonts w:hint="eastAsia"/>
        </w:rPr>
      </w:pPr>
    </w:p>
    <w:p w14:paraId="68CA59AD">
      <w:pPr>
        <w:bidi w:val="0"/>
        <w:ind w:firstLine="480" w:firstLineChars="200"/>
        <w:rPr>
          <w:rFonts w:hint="eastAsia"/>
        </w:rPr>
      </w:pPr>
      <w:r>
        <w:rPr>
          <w:rFonts w:hint="eastAsia"/>
        </w:rPr>
        <w:t>需明确，所倡导的网络空间命运共同体，并非无国界的自由主义网络，而是以尊重网络主权为基石的有秩序的互联网。此话语体系构建了对抗数据霸权、捍卫自主治理权的政治法律框架。对内，则必须筑牢自主防线，构建数据资源安全网。数据溯源、加密、身份认证等安全技术是捍卫数据主权的关键工具，必须强化数据跨境流动的技术监管与安全审查，确保涉及国家与公共利益的核心数据不外流。</w:t>
      </w:r>
    </w:p>
    <w:p w14:paraId="0903E1E0">
      <w:pPr>
        <w:pStyle w:val="4"/>
        <w:bidi w:val="0"/>
        <w:rPr>
          <w:rFonts w:hint="eastAsia"/>
        </w:rPr>
      </w:pPr>
      <w:r>
        <w:rPr>
          <w:rFonts w:hint="eastAsia"/>
          <w:lang w:val="en-US" w:eastAsia="zh-CN"/>
        </w:rPr>
        <w:t>2.2.3</w:t>
      </w:r>
      <w:r>
        <w:rPr>
          <w:rFonts w:hint="eastAsia"/>
        </w:rPr>
        <w:t>利用安全技术提升社会治理精度</w:t>
      </w:r>
    </w:p>
    <w:p w14:paraId="29AB62F5">
      <w:pPr>
        <w:bidi w:val="0"/>
        <w:ind w:firstLine="480" w:firstLineChars="200"/>
        <w:rPr>
          <w:rFonts w:hint="eastAsia"/>
        </w:rPr>
      </w:pPr>
      <w:r>
        <w:rPr>
          <w:rFonts w:hint="eastAsia"/>
        </w:rPr>
        <w:t>应应对意识形态风险并提升治理效能，必须在安全与法治框架内，利用安全的数据分析技术强化社会治理。</w:t>
      </w:r>
    </w:p>
    <w:p w14:paraId="26B40F67">
      <w:pPr>
        <w:bidi w:val="0"/>
        <w:ind w:firstLine="480" w:firstLineChars="200"/>
        <w:rPr>
          <w:rFonts w:hint="eastAsia"/>
        </w:rPr>
      </w:pPr>
      <w:r>
        <w:rPr>
          <w:rFonts w:hint="eastAsia"/>
        </w:rPr>
        <w:t>在公共安全领域，运用视频监控、图像采集等技术预防犯罪、调控交通、应对突发事件，是提升公众安全感的必要手段。在舆情引导方面，需运用大数据与AI技术，构建数字赋能的突发事件网络舆情全周期治理体系，实现从传统事后处置向精准、动态、实时治理的转型。同时，应主动研究并运用AIGC技术，发挥其在议程设置、引导正面舆论中的作用，以掌握意识形态博弈的主动权[13]。</w:t>
      </w:r>
    </w:p>
    <w:p w14:paraId="7F77DC74">
      <w:pPr>
        <w:bidi w:val="0"/>
        <w:ind w:firstLine="480" w:firstLineChars="200"/>
        <w:rPr>
          <w:rFonts w:hint="eastAsia"/>
        </w:rPr>
      </w:pPr>
      <w:r>
        <w:rPr>
          <w:rFonts w:hint="eastAsia"/>
        </w:rPr>
        <w:t>此类大规模数据采集与利用必须在法治轨道内运行[4]。《中华人民共和国个人信息保护法》第26条提供了关键法律依据。该条款规定，在公共场所安装图像采集、个人身份识别设备，应当为维护公共安全所必需，遵守国家规定并设显著提示。此处的“公共安全”被理解为一个涵盖社会秩序与政治安全的广义概念。该条款通过设定目的限制与程序正义（如提示标识）要求，为国家基于维护公共安全和社会治理的核心政治诉求而进行必要的数据采集，提供了明确的法律授权与合法性基础。</w:t>
      </w:r>
    </w:p>
    <w:p w14:paraId="5F11BD73">
      <w:pPr>
        <w:pStyle w:val="3"/>
        <w:bidi w:val="0"/>
      </w:pPr>
      <w:r>
        <w:rPr>
          <w:rFonts w:hint="eastAsia"/>
          <w:lang w:val="en-US" w:eastAsia="zh-CN"/>
        </w:rPr>
        <w:t>2.3</w:t>
      </w:r>
      <w:r>
        <w:rPr>
          <w:rFonts w:hint="default"/>
        </w:rPr>
        <w:t>政策建议</w:t>
      </w:r>
    </w:p>
    <w:p w14:paraId="4B1FF9F1">
      <w:pPr>
        <w:bidi w:val="0"/>
        <w:ind w:firstLine="480" w:firstLineChars="200"/>
        <w:rPr>
          <w:rFonts w:hint="eastAsia"/>
        </w:rPr>
      </w:pPr>
      <w:r>
        <w:rPr>
          <w:rFonts w:hint="eastAsia"/>
        </w:rPr>
        <w:t>为确保智慧城市建设始终服务于政治建设这一核心目标，有效防范化解重大安全风险，巩固党的执政基础，特提出以下政策建议：</w:t>
      </w:r>
    </w:p>
    <w:p w14:paraId="2BD11882">
      <w:pPr>
        <w:numPr>
          <w:ilvl w:val="0"/>
          <w:numId w:val="1"/>
        </w:numPr>
        <w:bidi w:val="0"/>
        <w:ind w:firstLine="480" w:firstLineChars="200"/>
        <w:rPr>
          <w:rFonts w:hint="eastAsia"/>
        </w:rPr>
      </w:pPr>
      <w:r>
        <w:rPr>
          <w:rFonts w:hint="eastAsia"/>
        </w:rPr>
        <w:t>推动核心电子政务系统国产化替代：将国产化替代作为智慧城市CII建设的强制性前置条件和核心验收指标。设立专项基金，加速推动党政机关、应急指挥、公共通信等核心系统的全面国产化，从根本上解决供应链安全这一政治安全隐患。</w:t>
      </w:r>
    </w:p>
    <w:p w14:paraId="104C8632">
      <w:pPr>
        <w:numPr>
          <w:ilvl w:val="0"/>
          <w:numId w:val="1"/>
        </w:numPr>
        <w:bidi w:val="0"/>
        <w:ind w:left="0" w:leftChars="0" w:firstLine="480" w:firstLineChars="200"/>
        <w:rPr>
          <w:rFonts w:hint="eastAsia"/>
        </w:rPr>
      </w:pPr>
      <w:r>
        <w:rPr>
          <w:rFonts w:hint="eastAsia"/>
        </w:rPr>
        <w:t>建立智慧城市舆情网络安全监测与引导机制：整合网信、公安、宣传、应急管理等部门力量，建立跨部门、跨层级的智慧城市舆情安全一体化作战平台。必须将AIGC 等新技术纳入监测和引导体系，研发以智能对抗智能的治理工具，确保牢牢掌握网络意识形态斗争的主动权。</w:t>
      </w:r>
    </w:p>
    <w:p w14:paraId="25C71E8D">
      <w:pPr>
        <w:numPr>
          <w:ilvl w:val="0"/>
          <w:numId w:val="1"/>
        </w:numPr>
        <w:bidi w:val="0"/>
        <w:ind w:left="0" w:leftChars="0" w:firstLine="480" w:firstLineChars="200"/>
        <w:rPr>
          <w:rFonts w:hint="eastAsia"/>
        </w:rPr>
      </w:pPr>
      <w:r>
        <w:rPr>
          <w:rFonts w:hint="eastAsia"/>
        </w:rPr>
        <w:t>制定针对政府数据的全生命周期安全管理条例：落实数据分级分类管理要求，针对智慧城市CIM平台、政务云所承载的核心治理数据，特别是涉及国家安全、国防动员的敏感数据，制定专门的、覆盖全生命周期的安全管理条例，严格规范数据采集、存储、使用、跨境流动和销毁流程，确保数据主权和政治安全万无一失。</w:t>
      </w:r>
    </w:p>
    <w:p w14:paraId="3F38021F">
      <w:pPr>
        <w:widowControl w:val="0"/>
        <w:numPr>
          <w:numId w:val="0"/>
        </w:numPr>
        <w:bidi w:val="0"/>
        <w:spacing w:line="240" w:lineRule="auto"/>
        <w:jc w:val="both"/>
        <w:rPr>
          <w:rFonts w:hint="eastAsia"/>
        </w:rPr>
      </w:pPr>
    </w:p>
    <w:p w14:paraId="62CE2BC5">
      <w:pPr>
        <w:widowControl w:val="0"/>
        <w:numPr>
          <w:numId w:val="0"/>
        </w:numPr>
        <w:bidi w:val="0"/>
        <w:spacing w:line="240" w:lineRule="auto"/>
        <w:jc w:val="both"/>
        <w:rPr>
          <w:rFonts w:hint="eastAsia"/>
        </w:rPr>
      </w:pPr>
      <w:bookmarkStart w:id="0" w:name="_GoBack"/>
      <w:bookmarkEnd w:id="0"/>
    </w:p>
    <w:p w14:paraId="2C0381B0">
      <w:pPr>
        <w:widowControl w:val="0"/>
        <w:numPr>
          <w:numId w:val="0"/>
        </w:numPr>
        <w:bidi w:val="0"/>
        <w:spacing w:line="240" w:lineRule="auto"/>
        <w:jc w:val="both"/>
        <w:rPr>
          <w:rFonts w:hint="eastAsia"/>
        </w:rPr>
      </w:pPr>
    </w:p>
    <w:p w14:paraId="2758656E">
      <w:pPr>
        <w:widowControl w:val="0"/>
        <w:numPr>
          <w:numId w:val="0"/>
        </w:numPr>
        <w:bidi w:val="0"/>
        <w:spacing w:line="240" w:lineRule="auto"/>
        <w:jc w:val="both"/>
        <w:rPr>
          <w:rFonts w:hint="eastAsia"/>
        </w:rPr>
      </w:pPr>
    </w:p>
    <w:p w14:paraId="1121FE99">
      <w:pPr>
        <w:pStyle w:val="3"/>
        <w:bidi w:val="0"/>
        <w:rPr>
          <w:rFonts w:hint="default"/>
          <w:lang w:val="en-US" w:eastAsia="zh-CN"/>
        </w:rPr>
      </w:pPr>
      <w:r>
        <w:rPr>
          <w:rFonts w:hint="eastAsia"/>
          <w:lang w:val="en-US" w:eastAsia="zh-CN"/>
        </w:rPr>
        <w:t>参考文献</w:t>
      </w:r>
    </w:p>
    <w:p w14:paraId="7056B16D">
      <w:pPr>
        <w:rPr>
          <w:rFonts w:hint="default"/>
          <w:lang w:val="en-US" w:eastAsia="zh-CN"/>
        </w:rPr>
      </w:pPr>
      <w:r>
        <w:rPr>
          <w:rFonts w:hint="default"/>
          <w:lang w:val="en-US" w:eastAsia="zh-CN"/>
        </w:rPr>
        <w:t xml:space="preserve">[1] 王艳红. 公共危机中的多元舆论博弈与网络舆情治理能力提升研究[J]. 领导科学, 2021(2): 44-46. </w:t>
      </w:r>
    </w:p>
    <w:p w14:paraId="00489576">
      <w:pPr>
        <w:rPr>
          <w:rFonts w:hint="default"/>
          <w:lang w:val="en-US" w:eastAsia="zh-CN"/>
        </w:rPr>
      </w:pPr>
      <w:r>
        <w:rPr>
          <w:rFonts w:hint="default"/>
          <w:lang w:val="en-US" w:eastAsia="zh-CN"/>
        </w:rPr>
        <w:t>[2] 周福战, 何丽蓉. 信息生态视角下突发事件网络舆情的生成演化及过程追踪分析[J]. 中国传媒科技, 2023(11): 24-30.</w:t>
      </w:r>
    </w:p>
    <w:p w14:paraId="56ECF917">
      <w:pPr>
        <w:rPr>
          <w:rFonts w:hint="default"/>
          <w:lang w:val="en-US" w:eastAsia="zh-CN"/>
        </w:rPr>
      </w:pPr>
      <w:r>
        <w:rPr>
          <w:rFonts w:hint="default"/>
          <w:lang w:val="en-US" w:eastAsia="zh-CN"/>
        </w:rPr>
        <w:t xml:space="preserve">[3] 李彪, 高琳轩. 大数据背景下舆情治理的智能转向: 现状、风险与对策[J]. 中国编辑, 2023(5): 4-10. </w:t>
      </w:r>
    </w:p>
    <w:p w14:paraId="2FB66D6D">
      <w:pPr>
        <w:rPr>
          <w:rFonts w:hint="default"/>
          <w:lang w:val="en-US" w:eastAsia="zh-CN"/>
        </w:rPr>
      </w:pPr>
      <w:r>
        <w:rPr>
          <w:rFonts w:hint="default"/>
          <w:lang w:val="en-US" w:eastAsia="zh-CN"/>
        </w:rPr>
        <w:t xml:space="preserve">[4] 曹树金, 王志红, 古婷骅. 智慧城市环境下个人信息安全保护问题分析及立法建议[J]. 图书情报知识, 2015(3): 35-45. </w:t>
      </w:r>
    </w:p>
    <w:p w14:paraId="3DDF2D09">
      <w:pPr>
        <w:jc w:val="left"/>
        <w:rPr>
          <w:rFonts w:hint="default"/>
          <w:lang w:val="en-US" w:eastAsia="zh-CN"/>
        </w:rPr>
      </w:pPr>
      <w:r>
        <w:rPr>
          <w:rFonts w:hint="default"/>
          <w:lang w:val="en-US" w:eastAsia="zh-CN"/>
        </w:rPr>
        <w:t xml:space="preserve">[5] 中共中央网络安全和信息化委员会办公室. 携手构建网络空间命运共同体(白皮书)[EB/OL].(2022-11-07)[2025-11-12]. https://www.gov.cn/zhengce/2022-11/07/content_5725117.htm. </w:t>
      </w:r>
    </w:p>
    <w:p w14:paraId="10705577">
      <w:pPr>
        <w:rPr>
          <w:rFonts w:hint="default"/>
          <w:lang w:val="en-US" w:eastAsia="zh-CN"/>
        </w:rPr>
      </w:pPr>
      <w:r>
        <w:rPr>
          <w:rFonts w:hint="default"/>
          <w:lang w:val="en-US" w:eastAsia="zh-CN"/>
        </w:rPr>
        <w:t xml:space="preserve">[6] 中华人民共和国国防部. 数字化时代，亟须捍卫“数据主权”[EB/OL]. (2022-04-20)[2025-11-12]. http://www.mod.gov.cn/gfbw/pl/2022-04/20/content_4909062.htm. </w:t>
      </w:r>
    </w:p>
    <w:p w14:paraId="57B278D4">
      <w:pPr>
        <w:jc w:val="left"/>
        <w:rPr>
          <w:rFonts w:hint="default"/>
          <w:lang w:val="en-US" w:eastAsia="zh-CN"/>
        </w:rPr>
      </w:pPr>
      <w:r>
        <w:rPr>
          <w:rFonts w:hint="default"/>
          <w:lang w:val="en-US" w:eastAsia="zh-CN"/>
        </w:rPr>
        <w:t xml:space="preserve">[7] 国家互联网信息办公室. 《关键信息基础设施安全保护条例》[EB/OL]. (2021-09-01)[2025-11-12]. http://www.cac.gov.cn/2021-09/01/c_1631862208383504.htm. </w:t>
      </w:r>
    </w:p>
    <w:p w14:paraId="00686514">
      <w:pPr>
        <w:jc w:val="left"/>
        <w:rPr>
          <w:rFonts w:hint="default"/>
          <w:lang w:val="en-US" w:eastAsia="zh-CN"/>
        </w:rPr>
      </w:pPr>
      <w:r>
        <w:rPr>
          <w:rFonts w:hint="eastAsia"/>
          <w:lang w:val="en-US" w:eastAsia="zh-CN"/>
        </w:rPr>
        <w:t>[8]黄艳, 徐志发. 百度智慧城市白皮书（2021年）[EB/OL]. (2021-07-30)[2025-11-12]. https://www.smartcity.team/reports/%E7%99%BE%E5%BA%A6%E6%99%BA%E6%85%A7%E5%9F%8E%E5%B8%82%E7%99%BD%E7%9A%AE%E4%B9%A62021/.</w:t>
      </w:r>
    </w:p>
    <w:p w14:paraId="401C0119">
      <w:pPr>
        <w:rPr>
          <w:rFonts w:hint="default"/>
          <w:lang w:val="en-US" w:eastAsia="zh-CN"/>
        </w:rPr>
      </w:pPr>
      <w:r>
        <w:rPr>
          <w:rFonts w:hint="default"/>
          <w:lang w:val="en-US" w:eastAsia="zh-CN"/>
        </w:rPr>
        <w:t>[9] 郭真, 申奇, 柳雨晨. 新型智慧城市数据安全研究与思考[J]. 信息通信技术与政策, 2021, 47(11): 20-25.</w:t>
      </w:r>
    </w:p>
    <w:p w14:paraId="65F25880">
      <w:pPr>
        <w:rPr>
          <w:rFonts w:hint="eastAsia"/>
          <w:lang w:val="en-US" w:eastAsia="zh-CN"/>
        </w:rPr>
      </w:pPr>
      <w:r>
        <w:rPr>
          <w:rFonts w:hint="eastAsia"/>
          <w:lang w:val="en-US" w:eastAsia="zh-CN"/>
        </w:rPr>
        <w:t>[10]甘小伟 , 张远云 , 董贵山 ,等. 关于新型智慧城市网络安全生命体的思考 [J]. 信息安全与通信保密 ,2023(4):113-124.</w:t>
      </w:r>
    </w:p>
    <w:p w14:paraId="68FA4C7F">
      <w:pPr>
        <w:rPr>
          <w:rFonts w:hint="default"/>
          <w:lang w:val="en-US" w:eastAsia="zh-CN"/>
        </w:rPr>
      </w:pPr>
      <w:r>
        <w:rPr>
          <w:rFonts w:hint="eastAsia"/>
          <w:lang w:val="en-US" w:eastAsia="zh-CN"/>
        </w:rPr>
        <w:t>https://www.secrss.com/articles/57322.</w:t>
      </w:r>
    </w:p>
    <w:p w14:paraId="4F2CD8AE">
      <w:pPr>
        <w:rPr>
          <w:rFonts w:hint="default"/>
          <w:lang w:val="en-US" w:eastAsia="zh-CN"/>
        </w:rPr>
      </w:pPr>
      <w:r>
        <w:rPr>
          <w:rFonts w:hint="default"/>
          <w:lang w:val="en-US" w:eastAsia="zh-CN"/>
        </w:rPr>
        <w:t>[11] 张合斌. 智能社会新形态下AIGC作为虚拟意见领袖在舆论引导中的价值[EB/OL]. (2025-10-09)[2025-11-12]. https://theory.dahe.cn/2025/10-09/2003755.html</w:t>
      </w:r>
    </w:p>
    <w:p w14:paraId="39E55BE7">
      <w:pPr>
        <w:rPr>
          <w:rFonts w:hint="default"/>
          <w:lang w:val="en-US" w:eastAsia="zh-CN"/>
        </w:rPr>
      </w:pPr>
      <w:r>
        <w:rPr>
          <w:rFonts w:hint="default"/>
          <w:lang w:val="en-US" w:eastAsia="zh-CN"/>
        </w:rPr>
        <w:t xml:space="preserve">[12] 侯金亮 朱 涛. 加快智慧城市建设步伐[N]. </w:t>
      </w:r>
      <w:r>
        <w:rPr>
          <w:rFonts w:hint="eastAsia"/>
          <w:lang w:val="en-US" w:eastAsia="zh-CN"/>
        </w:rPr>
        <w:t>人民日报</w:t>
      </w:r>
      <w:r>
        <w:rPr>
          <w:rFonts w:hint="default"/>
          <w:lang w:val="en-US" w:eastAsia="zh-CN"/>
        </w:rPr>
        <w:t xml:space="preserve">, 2024-07-26. </w:t>
      </w:r>
    </w:p>
    <w:p w14:paraId="175452FC">
      <w:pPr>
        <w:rPr>
          <w:rFonts w:hint="default"/>
          <w:lang w:val="en-US" w:eastAsia="zh-CN"/>
        </w:rPr>
      </w:pPr>
      <w:r>
        <w:rPr>
          <w:rFonts w:hint="eastAsia"/>
          <w:lang w:val="en-US" w:eastAsia="zh-CN"/>
        </w:rPr>
        <w:t>[13]石佳友. 公共视频设备应用中的个人信息保护[EB/OL]. (2022-06-08)[2025-11-12]. https://www.civillaw.com.cn/t/?id=38617.</w:t>
      </w:r>
    </w:p>
    <w:p w14:paraId="04B12D66">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一叶知秋" w:date="2025-11-12T19:53:00Z" w:initials="">
    <w:p w14:paraId="0AE02F2C">
      <w:pPr>
        <w:pStyle w:val="5"/>
        <w:rPr>
          <w:rFonts w:ascii="宋体" w:hAnsi="宋体" w:eastAsia="宋体" w:cs="宋体"/>
          <w:sz w:val="24"/>
          <w:szCs w:val="24"/>
        </w:rPr>
      </w:pPr>
      <w:r>
        <w:rPr>
          <w:rFonts w:ascii="宋体" w:hAnsi="宋体" w:eastAsia="宋体" w:cs="宋体"/>
          <w:sz w:val="24"/>
          <w:szCs w:val="24"/>
        </w:rPr>
        <w:t xml:space="preserve">信息安全与通信保密杂志社. 关于新型智慧城市网络安全生命体的思考[EB/OL]. (2023-08-01)[2025-11-12]. </w:t>
      </w:r>
      <w:r>
        <w:rPr>
          <w:rFonts w:ascii="宋体" w:hAnsi="宋体" w:eastAsia="宋体" w:cs="宋体"/>
          <w:sz w:val="24"/>
          <w:szCs w:val="24"/>
        </w:rPr>
        <w:fldChar w:fldCharType="begin"/>
      </w:r>
      <w:r>
        <w:rPr>
          <w:rFonts w:ascii="宋体" w:hAnsi="宋体" w:eastAsia="宋体" w:cs="宋体"/>
          <w:sz w:val="24"/>
          <w:szCs w:val="24"/>
        </w:rPr>
        <w:instrText xml:space="preserve"> HYPERLINK "https://www.secrss.com/articles/57322" \t "_blank" </w:instrText>
      </w:r>
      <w:r>
        <w:rPr>
          <w:rFonts w:ascii="宋体" w:hAnsi="宋体" w:eastAsia="宋体" w:cs="宋体"/>
          <w:sz w:val="24"/>
          <w:szCs w:val="24"/>
        </w:rPr>
        <w:fldChar w:fldCharType="separate"/>
      </w:r>
      <w:r>
        <w:rPr>
          <w:rStyle w:val="8"/>
          <w:rFonts w:ascii="宋体" w:hAnsi="宋体" w:eastAsia="宋体" w:cs="宋体"/>
          <w:sz w:val="24"/>
          <w:szCs w:val="24"/>
        </w:rPr>
        <w:t>https://www.secrss.com/articles/57322</w:t>
      </w:r>
      <w:r>
        <w:rPr>
          <w:rFonts w:ascii="宋体" w:hAnsi="宋体" w:eastAsia="宋体" w:cs="宋体"/>
          <w:sz w:val="24"/>
          <w:szCs w:val="24"/>
        </w:rPr>
        <w:fldChar w:fldCharType="end"/>
      </w:r>
      <w:r>
        <w:rPr>
          <w:rFonts w:ascii="宋体" w:hAnsi="宋体" w:eastAsia="宋体" w:cs="宋体"/>
          <w:sz w:val="24"/>
          <w:szCs w:val="24"/>
        </w:rPr>
        <w:t>.</w:t>
      </w:r>
    </w:p>
    <w:p w14:paraId="777AC09F">
      <w:pPr>
        <w:pStyle w:val="5"/>
        <w:rPr>
          <w:rFonts w:ascii="宋体" w:hAnsi="宋体" w:eastAsia="宋体" w:cs="宋体"/>
          <w:sz w:val="24"/>
          <w:szCs w:val="24"/>
        </w:rPr>
      </w:pPr>
      <w:r>
        <w:rPr>
          <w:rFonts w:ascii="Helvetica" w:hAnsi="Helvetica" w:eastAsia="Helvetica" w:cs="Helvetica"/>
          <w:i w:val="0"/>
          <w:iCs w:val="0"/>
          <w:caps w:val="0"/>
          <w:color w:val="333333"/>
          <w:spacing w:val="0"/>
          <w:sz w:val="19"/>
          <w:szCs w:val="19"/>
          <w:shd w:val="clear" w:fill="FFFFFF"/>
        </w:rPr>
        <w:t xml:space="preserve">奇安信集团. 智慧城市安全监管与运营响应解决方案[EB/OL]. [2025-11-12]. </w:t>
      </w:r>
      <w:r>
        <w:rPr>
          <w:rFonts w:hint="default" w:ascii="Helvetica" w:hAnsi="Helvetica" w:eastAsia="Helvetica" w:cs="Helvetica"/>
          <w:i w:val="0"/>
          <w:iCs w:val="0"/>
          <w:caps w:val="0"/>
          <w:color w:val="4183C4"/>
          <w:spacing w:val="0"/>
          <w:sz w:val="19"/>
          <w:szCs w:val="19"/>
          <w:shd w:val="clear" w:fill="FFFFFF"/>
        </w:rPr>
        <w:fldChar w:fldCharType="begin"/>
      </w:r>
      <w:r>
        <w:rPr>
          <w:rFonts w:hint="default" w:ascii="Helvetica" w:hAnsi="Helvetica" w:eastAsia="Helvetica" w:cs="Helvetica"/>
          <w:i w:val="0"/>
          <w:iCs w:val="0"/>
          <w:caps w:val="0"/>
          <w:color w:val="4183C4"/>
          <w:spacing w:val="0"/>
          <w:sz w:val="19"/>
          <w:szCs w:val="19"/>
          <w:shd w:val="clear" w:fill="FFFFFF"/>
        </w:rPr>
        <w:instrText xml:space="preserve"> HYPERLINK "https://www.qianxin.com/trade/detail/tid/157" </w:instrText>
      </w:r>
      <w:r>
        <w:rPr>
          <w:rFonts w:hint="default" w:ascii="Helvetica" w:hAnsi="Helvetica" w:eastAsia="Helvetica" w:cs="Helvetica"/>
          <w:i w:val="0"/>
          <w:iCs w:val="0"/>
          <w:caps w:val="0"/>
          <w:color w:val="4183C4"/>
          <w:spacing w:val="0"/>
          <w:sz w:val="19"/>
          <w:szCs w:val="19"/>
          <w:shd w:val="clear" w:fill="FFFFFF"/>
        </w:rPr>
        <w:fldChar w:fldCharType="separate"/>
      </w:r>
      <w:r>
        <w:rPr>
          <w:rStyle w:val="8"/>
          <w:rFonts w:hint="default" w:ascii="Helvetica" w:hAnsi="Helvetica" w:eastAsia="Helvetica" w:cs="Helvetica"/>
          <w:i w:val="0"/>
          <w:iCs w:val="0"/>
          <w:caps w:val="0"/>
          <w:color w:val="4183C4"/>
          <w:spacing w:val="0"/>
          <w:sz w:val="19"/>
          <w:szCs w:val="19"/>
          <w:shd w:val="clear" w:fill="FFFFFF"/>
        </w:rPr>
        <w:t>https://www.qianxin.com/trade/detail/tid/157</w:t>
      </w:r>
      <w:r>
        <w:rPr>
          <w:rFonts w:hint="default" w:ascii="Helvetica" w:hAnsi="Helvetica" w:eastAsia="Helvetica" w:cs="Helvetica"/>
          <w:i w:val="0"/>
          <w:iCs w:val="0"/>
          <w:caps w:val="0"/>
          <w:color w:val="4183C4"/>
          <w:spacing w:val="0"/>
          <w:sz w:val="19"/>
          <w:szCs w:val="19"/>
          <w:shd w:val="clear" w:fill="FFFFFF"/>
        </w:rPr>
        <w:fldChar w:fldCharType="end"/>
      </w:r>
      <w:r>
        <w:rPr>
          <w:rFonts w:hint="default" w:ascii="Helvetica" w:hAnsi="Helvetica" w:eastAsia="Helvetica" w:cs="Helvetica"/>
          <w:i w:val="0"/>
          <w:iCs w:val="0"/>
          <w:caps w:val="0"/>
          <w:color w:val="333333"/>
          <w:spacing w:val="0"/>
          <w:sz w:val="19"/>
          <w:szCs w:val="19"/>
          <w:shd w:val="clear" w:fill="FFFFFF"/>
        </w:rPr>
        <w:t>.</w:t>
      </w:r>
    </w:p>
    <w:p w14:paraId="27B657D2">
      <w:pPr>
        <w:pStyle w:val="5"/>
        <w:rPr>
          <w:rFonts w:ascii="宋体" w:hAnsi="宋体" w:eastAsia="宋体" w:cs="宋体"/>
          <w:sz w:val="24"/>
          <w:szCs w:val="24"/>
        </w:rPr>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7B657D2"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 w:name="ti">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ger">
    <w:panose1 w:val="02070300020205020404"/>
    <w:charset w:val="00"/>
    <w:family w:val="auto"/>
    <w:pitch w:val="default"/>
    <w:sig w:usb0="A00003AF" w:usb1="100078FF" w:usb2="00000000" w:usb3="00000000" w:csb0="6000019F" w:csb1="DFF70000"/>
  </w:font>
  <w:font w:name="Tim">
    <w:altName w:val="Segoe Print"/>
    <w:panose1 w:val="00000000000000000000"/>
    <w:charset w:val="00"/>
    <w:family w:val="auto"/>
    <w:pitch w:val="default"/>
    <w:sig w:usb0="00000000" w:usb1="00000000" w:usb2="00000000" w:usb3="00000000" w:csb0="00000000" w:csb1="00000000"/>
  </w:font>
  <w:font w:name="Time">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Helvetica">
    <w:altName w:val="Arial"/>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055930"/>
    <w:multiLevelType w:val="singleLevel"/>
    <w:tmpl w:val="A9055930"/>
    <w:lvl w:ilvl="0" w:tentative="0">
      <w:start w:val="1"/>
      <w:numFmt w:val="decimal"/>
      <w:suff w:val="space"/>
      <w:lvlText w:val="%1."/>
      <w:lvlJc w:val="left"/>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一叶知秋">
    <w15:presenceInfo w15:providerId="WPS Office" w15:userId="122807589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C73B71"/>
    <w:rsid w:val="16DE456E"/>
    <w:rsid w:val="25892B64"/>
    <w:rsid w:val="2BBD471E"/>
    <w:rsid w:val="54541D39"/>
    <w:rsid w:val="6082700E"/>
    <w:rsid w:val="62F9490C"/>
    <w:rsid w:val="66686D87"/>
    <w:rsid w:val="68D77EEE"/>
    <w:rsid w:val="70244CDE"/>
    <w:rsid w:val="71B623F0"/>
    <w:rsid w:val="7C5D56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uto"/>
      <w:jc w:val="both"/>
    </w:pPr>
    <w:rPr>
      <w:rFonts w:ascii="Times New Roman" w:hAnsi="Times New Roman" w:eastAsiaTheme="minorEastAsia" w:cstheme="minorBid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Lines="0" w:beforeAutospacing="0" w:afterLines="0" w:afterAutospacing="0" w:line="360" w:lineRule="auto"/>
      <w:outlineLvl w:val="1"/>
    </w:pPr>
    <w:rPr>
      <w:rFonts w:ascii="Arial" w:hAnsi="Arial" w:eastAsia="黑体"/>
      <w:b/>
    </w:rPr>
  </w:style>
  <w:style w:type="paragraph" w:styleId="4">
    <w:name w:val="heading 3"/>
    <w:basedOn w:val="1"/>
    <w:next w:val="1"/>
    <w:unhideWhenUsed/>
    <w:qFormat/>
    <w:uiPriority w:val="0"/>
    <w:pPr>
      <w:keepNext/>
      <w:keepLines/>
      <w:spacing w:beforeLines="0" w:beforeAutospacing="0" w:afterLines="0" w:afterAutospacing="0" w:line="360" w:lineRule="auto"/>
      <w:outlineLvl w:val="2"/>
    </w:pPr>
    <w:rPr>
      <w:b/>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annotation text"/>
    <w:basedOn w:val="1"/>
    <w:uiPriority w:val="0"/>
    <w:pPr>
      <w:jc w:val="left"/>
    </w:pPr>
  </w:style>
  <w:style w:type="character" w:styleId="8">
    <w:name w:val="Hyperlink"/>
    <w:basedOn w:val="7"/>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15</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2025-11-12T11:38:21Z</dcterms:created>
  <dc:creator>LENOVO</dc:creator>
  <cp:lastModifiedBy>一叶知秋</cp:lastModifiedBy>
  <dcterms:modified xsi:type="dcterms:W3CDTF">2025-11-12T13:20:48Z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eyJoZGlkIjoiZDg0ZWQzMDlkZDkwNTMyN2Y1MTcwMzM3YWQ5ZTM0Y2UiLCJ1c2VySWQiOiIxMjg3NjQxNjcwIn0=</vt:lpwstr>
  </property>
  <property fmtid="{D5CDD505-2E9C-101B-9397-08002B2CF9AE}" pid="4" name="ICV">
    <vt:lpwstr>CA0B916B9188436482CC0B1AD1171E2A_12</vt:lpwstr>
  </property>
</Properties>
</file>