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0" w:before="0"/>
        <w:jc w:val="center"/>
      </w:pPr>
      <w:r>
        <w:rPr>
          <w:rFonts w:ascii="Arial" w:cs="Arial" w:eastAsia="Arial" w:hAnsi="Arial"/>
          <w:b/>
          <w:bCs/>
          <w:color w:val="26215C"/>
          <w:sz w:val="80"/>
          <w:szCs w:val="80"/>
        </w:rPr>
        <w:t xml:space="preserve">lok</w:t>
      </w:r>
      <w:r>
        <w:rPr>
          <w:rFonts w:ascii="Arial" w:cs="Arial" w:eastAsia="Arial" w:hAnsi="Arial"/>
          <w:b/>
          <w:bCs/>
          <w:color w:val="534AB7"/>
          <w:sz w:val="80"/>
          <w:szCs w:val="80"/>
        </w:rPr>
        <w:t xml:space="preserve">ko</w:t>
      </w:r>
    </w:p>
    <w:p>
      <w:pPr>
        <w:spacing w:after="0" w:before="80"/>
      </w:pPr>
      <w:r>
        <w:t xml:space="preserve"/>
      </w:r>
    </w:p>
    <w:p>
      <w:pPr>
        <w:spacing w:after="0" w:before="0"/>
        <w:jc w:val="center"/>
      </w:pPr>
      <w:r>
        <w:rPr>
          <w:rFonts w:ascii="Arial" w:cs="Arial" w:eastAsia="Arial" w:hAnsi="Arial"/>
          <w:b/>
          <w:bCs/>
          <w:color w:val="26215C"/>
          <w:spacing w:val="80"/>
          <w:sz w:val="28"/>
          <w:szCs w:val="28"/>
        </w:rPr>
        <w:t xml:space="preserve">HOW THE DASHBOARD WORKS</w:t>
      </w:r>
    </w:p>
    <w:p>
      <w:pPr>
        <w:spacing w:after="0" w:before="60"/>
      </w:pPr>
      <w:r>
        <w:t xml:space="preserve"/>
      </w:r>
    </w:p>
    <w:p>
      <w:pPr>
        <w:spacing w:after="0" w:before="0"/>
        <w:jc w:val="center"/>
      </w:pPr>
      <w:r>
        <w:rPr>
          <w:rFonts w:ascii="Arial" w:cs="Arial" w:eastAsia="Arial" w:hAnsi="Arial"/>
          <w:i/>
          <w:iCs/>
          <w:color w:val="5F6B7A"/>
          <w:sz w:val="21"/>
          <w:szCs w:val="21"/>
        </w:rPr>
        <w:t xml:space="preserve">A plain-English guide to what every number means and where it comes from</w:t>
      </w:r>
    </w:p>
    <w:p>
      <w:pPr>
        <w:spacing w:after="0" w:before="2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E6F1FB" w:val="clear"/>
            <w:tcMar>
              <w:top w:type="dxa" w:w="200"/>
              <w:left w:type="dxa" w:w="280"/>
              <w:bottom w:type="dxa" w:w="200"/>
              <w:right w:type="dxa" w:w="280"/>
            </w:tcMar>
          </w:tcPr>
          <w:p>
            <w:pPr>
              <w:spacing w:after="80" w:before="80"/>
            </w:pPr>
            <w:r>
              <w:rPr>
                <w:rFonts w:ascii="Arial" w:cs="Arial" w:eastAsia="Arial" w:hAnsi="Arial"/>
                <w:b/>
                <w:bCs/>
                <w:i w:val="false"/>
                <w:iCs w:val="false"/>
                <w:color w:val="26215C"/>
                <w:sz w:val="20"/>
                <w:szCs w:val="20"/>
              </w:rPr>
              <w:t xml:space="preserve">Why this guide exists</w:t>
            </w:r>
          </w:p>
          <w:p>
            <w:pPr>
              <w:spacing w:after="100" w:before="80"/>
            </w:pPr>
            <w:r>
              <w:rPr>
                <w:rFonts w:ascii="Arial" w:cs="Arial" w:eastAsia="Arial" w:hAnsi="Arial"/>
                <w:b w:val="false"/>
                <w:bCs w:val="false"/>
                <w:i w:val="false"/>
                <w:iCs w:val="false"/>
                <w:color w:val="1A1730"/>
                <w:sz w:val="20"/>
                <w:szCs w:val="20"/>
              </w:rPr>
              <w:t xml:space="preserve">When you show a prospect the Lokko dashboard they will ask: what does the score mean, how did you calculate it, how recent is the data, and can I trust these numbers? This guide gives you the answer to every one of those questions in plain English.</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1. What does the score mean?</w:t>
      </w:r>
    </w:p>
    <w:p>
      <w:pPr>
        <w:spacing w:after="100" w:before="80"/>
      </w:pPr>
      <w:r>
        <w:rPr>
          <w:rFonts w:ascii="Arial" w:cs="Arial" w:eastAsia="Arial" w:hAnsi="Arial"/>
          <w:b w:val="false"/>
          <w:bCs w:val="false"/>
          <w:i w:val="false"/>
          <w:iCs w:val="false"/>
          <w:color w:val="1A1730"/>
          <w:sz w:val="20"/>
          <w:szCs w:val="20"/>
        </w:rPr>
        <w:t xml:space="preserve">The score is a number between 0 and 100. It represents how strong a suburb is as an expansion opportunity for a specific type of business. 100 is the best possible score. It does not mean the suburb is perfect — it means it scores at the top across all five factors we measure.</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534AB7"/>
                <w:sz w:val="17"/>
                <w:szCs w:val="17"/>
              </w:rPr>
              <w:t xml:space="preserve">KEY POINT</w:t>
            </w:r>
          </w:p>
        </w:tc>
        <w:tc>
          <w:tcPr>
            <w:tcW w:type="dxa" w:w="8206"/>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A score of 100 means this suburb ticks every box in our model. A score of 88.5 means it is an excellent opportunity but misses slightly on one or two factors — usually because there is already a competitor nearby or the income bracket is slightly outside the ideal range.</w:t>
            </w:r>
          </w:p>
        </w:tc>
      </w:tr>
    </w:tbl>
    <w:p>
      <w:pPr>
        <w:spacing w:after="0" w:before="120"/>
      </w:pPr>
      <w:r>
        <w:t xml:space="preserve"/>
      </w:r>
    </w:p>
    <w:p>
      <w:pPr>
        <w:pStyle w:val="Heading2"/>
        <w:spacing w:after="100" w:before="220"/>
      </w:pPr>
      <w:r>
        <w:rPr>
          <w:rFonts w:ascii="Arial" w:cs="Arial" w:eastAsia="Arial" w:hAnsi="Arial"/>
          <w:b/>
          <w:bCs/>
          <w:color w:val="26215C"/>
          <w:sz w:val="27"/>
          <w:szCs w:val="27"/>
        </w:rPr>
        <w:t xml:space="preserve">Example: why Narre Warren scores 100 and Werribee scores 88.5</w:t>
      </w:r>
    </w:p>
    <w:p>
      <w:pPr>
        <w:spacing w:after="100" w:before="80"/>
      </w:pPr>
      <w:r>
        <w:rPr>
          <w:rFonts w:ascii="Arial" w:cs="Arial" w:eastAsia="Arial" w:hAnsi="Arial"/>
          <w:b w:val="false"/>
          <w:bCs w:val="false"/>
          <w:i w:val="false"/>
          <w:iCs w:val="false"/>
          <w:color w:val="1A1730"/>
          <w:sz w:val="20"/>
          <w:szCs w:val="20"/>
        </w:rPr>
        <w:t xml:space="preserve">Both are strong opportunities. Here is why the scores differ:</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353"/>
        <w:gridCol w:w="3353"/>
      </w:tblGrid>
      <w:tr>
        <w:tc>
          <w:tcPr>
            <w:tcW w:type="dxa" w:w="28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Factor</w:t>
            </w:r>
          </w:p>
        </w:tc>
        <w:tc>
          <w:tcPr>
            <w:tcW w:type="dxa" w:w="3353"/>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Narre Warren — 100</w:t>
            </w:r>
          </w:p>
        </w:tc>
        <w:tc>
          <w:tcPr>
            <w:tcW w:type="dxa" w:w="3353"/>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Werribee — 88.5</w:t>
            </w:r>
          </w:p>
        </w:tc>
      </w:tr>
      <w:tr>
        <w:tc>
          <w:tcPr>
            <w:tcW w:type="dxa" w:w="28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Population</w:t>
            </w:r>
          </w:p>
        </w:tc>
        <w:tc>
          <w:tcPr>
            <w:tcW w:type="dxa" w:w="3353"/>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25,800 residents ✓</w:t>
            </w:r>
          </w:p>
        </w:tc>
        <w:tc>
          <w:tcPr>
            <w:tcW w:type="dxa" w:w="3353"/>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16,323 residents ✓</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Household income</w:t>
            </w:r>
          </w:p>
        </w:tc>
        <w:tc>
          <w:tcPr>
            <w:tcW w:type="dxa" w:w="3353"/>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,650/wk ✓ (ideal range)</w:t>
            </w:r>
          </w:p>
        </w:tc>
        <w:tc>
          <w:tcPr>
            <w:tcW w:type="dxa" w:w="3353"/>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,340/wk ✓ (slightly low)</w:t>
            </w:r>
          </w:p>
        </w:tc>
      </w:tr>
      <w:tr>
        <w:tc>
          <w:tcPr>
            <w:tcW w:type="dxa" w:w="28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Median age</w:t>
            </w:r>
          </w:p>
        </w:tc>
        <w:tc>
          <w:tcPr>
            <w:tcW w:type="dxa" w:w="3353"/>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34 years ✓ (core demo)</w:t>
            </w:r>
          </w:p>
        </w:tc>
        <w:tc>
          <w:tcPr>
            <w:tcW w:type="dxa" w:w="3353"/>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34 years ✓ (core demo)</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Whitespace</w:t>
            </w:r>
          </w:p>
        </w:tc>
        <w:tc>
          <w:tcPr>
            <w:tcW w:type="dxa" w:w="3353"/>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6.2km from nearest store ✓</w:t>
            </w:r>
          </w:p>
        </w:tc>
        <w:tc>
          <w:tcPr>
            <w:tcW w:type="dxa" w:w="3353"/>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24km from nearest store ✓</w:t>
            </w:r>
          </w:p>
        </w:tc>
      </w:tr>
      <w:tr>
        <w:tc>
          <w:tcPr>
            <w:tcW w:type="dxa" w:w="28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Competition</w:t>
            </w:r>
          </w:p>
        </w:tc>
        <w:tc>
          <w:tcPr>
            <w:tcW w:type="dxa" w:w="3353"/>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No competitors within 2km ✓</w:t>
            </w:r>
          </w:p>
        </w:tc>
        <w:tc>
          <w:tcPr>
            <w:tcW w:type="dxa" w:w="3353"/>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No competitors within 2km ✓</w:t>
            </w:r>
          </w:p>
        </w:tc>
      </w:tr>
      <w:tr>
        <w:tc>
          <w:tcPr>
            <w:tcW w:type="dxa" w:w="28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Why the gap?</w:t>
            </w:r>
          </w:p>
        </w:tc>
        <w:tc>
          <w:tcPr>
            <w:tcW w:type="dxa" w:w="3353"/>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18"/>
                <w:szCs w:val="18"/>
              </w:rPr>
              <w:t xml:space="preserve">All 5 factors score at maximum</w:t>
            </w:r>
          </w:p>
        </w:tc>
        <w:tc>
          <w:tcPr>
            <w:tcW w:type="dxa" w:w="3353"/>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534AB7"/>
                <w:sz w:val="18"/>
                <w:szCs w:val="18"/>
              </w:rPr>
              <w:t xml:space="preserve">Income slightly below ideal range</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2. How is the score calculated?</w:t>
      </w:r>
    </w:p>
    <w:p>
      <w:pPr>
        <w:spacing w:after="100" w:before="80"/>
      </w:pPr>
      <w:r>
        <w:rPr>
          <w:rFonts w:ascii="Arial" w:cs="Arial" w:eastAsia="Arial" w:hAnsi="Arial"/>
          <w:b w:val="false"/>
          <w:bCs w:val="false"/>
          <w:i w:val="false"/>
          <w:iCs w:val="false"/>
          <w:color w:val="1A1730"/>
          <w:sz w:val="20"/>
          <w:szCs w:val="20"/>
        </w:rPr>
        <w:t xml:space="preserve">The score is built from five factors. Each factor has a weight — how much it contributes to the final score. Here is exactly how it works:</w:t>
      </w:r>
    </w:p>
    <w:p>
      <w:pPr>
        <w:spacing w:after="0" w:before="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206"/>
      </w:tblGrid>
      <w:tr>
        <w:tc>
          <w:tcPr>
            <w:tcW w:type="dxa" w:w="24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Factor</w:t>
            </w:r>
          </w:p>
        </w:tc>
        <w:tc>
          <w:tcPr>
            <w:tcW w:type="dxa" w:w="9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Weight</w:t>
            </w:r>
          </w:p>
        </w:tc>
        <w:tc>
          <w:tcPr>
            <w:tcW w:type="dxa" w:w="62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What it measures and why it matters</w:t>
            </w:r>
          </w:p>
        </w:tc>
      </w:tr>
      <w:tr>
        <w:tc>
          <w:tcPr>
            <w:tcW w:type="dxa" w:w="24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1. Population</w:t>
            </w:r>
          </w:p>
        </w:tc>
        <w:tc>
          <w:tcPr>
            <w:tcW w:type="dxa" w:w="9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D9E75"/>
                <w:sz w:val="20"/>
                <w:szCs w:val="20"/>
              </w:rPr>
              <w:t xml:space="preserve">25%</w:t>
            </w:r>
          </w:p>
        </w:tc>
        <w:tc>
          <w:tcPr>
            <w:tcW w:type="dxa" w:w="62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How many people live in the suburb. More residents = larger customer pool. Source: ABS Census 2021 — the national headcount of every person in Australia.</w:t>
            </w:r>
          </w:p>
        </w:tc>
      </w:tr>
      <w:tr>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2. Household income</w:t>
            </w:r>
          </w:p>
        </w:tc>
        <w:tc>
          <w:tcPr>
            <w:tcW w:type="dxa" w:w="9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D9E75"/>
                <w:sz w:val="20"/>
                <w:szCs w:val="20"/>
              </w:rPr>
              <w:t xml:space="preserve">20%</w:t>
            </w:r>
          </w:p>
        </w:tc>
        <w:tc>
          <w:tcPr>
            <w:tcW w:type="dxa" w:w="62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Median weekly household income. We look for the sweet spot: ,200–,500 per week. Too low and customers won't spend regularly. Too high and they tend to prefer premium alternatives. Source: ABS Census 2021.</w:t>
            </w:r>
          </w:p>
        </w:tc>
      </w:tr>
      <w:tr>
        <w:tc>
          <w:tcPr>
            <w:tcW w:type="dxa" w:w="24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3. Age demographic</w:t>
            </w:r>
          </w:p>
        </w:tc>
        <w:tc>
          <w:tcPr>
            <w:tcW w:type="dxa" w:w="9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D9E75"/>
                <w:sz w:val="20"/>
                <w:szCs w:val="20"/>
              </w:rPr>
              <w:t xml:space="preserve">20%</w:t>
            </w:r>
          </w:p>
        </w:tc>
        <w:tc>
          <w:tcPr>
            <w:tcW w:type="dxa" w:w="62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Median age of residents. For most food and service businesses the ideal range is 25–38 years old. This is the core working-age, family-forming demographic. Source: ABS Census 2021.</w:t>
            </w:r>
          </w:p>
        </w:tc>
      </w:tr>
      <w:tr>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4. Whitespace</w:t>
            </w:r>
          </w:p>
        </w:tc>
        <w:tc>
          <w:tcPr>
            <w:tcW w:type="dxa" w:w="9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D9E75"/>
                <w:sz w:val="20"/>
                <w:szCs w:val="20"/>
              </w:rPr>
              <w:t xml:space="preserve">25%</w:t>
            </w:r>
          </w:p>
        </w:tc>
        <w:tc>
          <w:tcPr>
            <w:tcW w:type="dxa" w:w="62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Distance to the nearest existing store of the same brand. If there is no store within 3km, the suburb scores 100 on this factor. If a store already exists nearby, it scores 0 — because the area is already served. Source: Google Places API, updated live.</w:t>
            </w:r>
          </w:p>
        </w:tc>
      </w:tr>
      <w:tr>
        <w:tc>
          <w:tcPr>
            <w:tcW w:type="dxa" w:w="24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5. Competition</w:t>
            </w:r>
          </w:p>
        </w:tc>
        <w:tc>
          <w:tcPr>
            <w:tcW w:type="dxa" w:w="9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D9E75"/>
                <w:sz w:val="20"/>
                <w:szCs w:val="20"/>
              </w:rPr>
              <w:t xml:space="preserve">10%</w:t>
            </w:r>
          </w:p>
        </w:tc>
        <w:tc>
          <w:tcPr>
            <w:tcW w:type="dxa" w:w="62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How many competing brands are within 2km. Fewer competitors = higher score. Source: Google Places API, updated live.</w:t>
            </w:r>
          </w:p>
        </w:tc>
      </w:tr>
    </w:tbl>
    <w:p>
      <w:pPr>
        <w:spacing w:after="0" w:before="1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534AB7"/>
                <w:sz w:val="17"/>
                <w:szCs w:val="17"/>
              </w:rPr>
              <w:t xml:space="preserve">THE FORMULA</w:t>
            </w:r>
          </w:p>
        </w:tc>
        <w:tc>
          <w:tcPr>
            <w:tcW w:type="dxa" w:w="8206"/>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Final score = (Population × 25%) + (Income × 20%) + (Age × 20%) + (Whitespace × 25%) + (Competition × 10%). Every factor is converted to a 0–100 scale first, then the weighted average gives the final score.</w:t>
            </w:r>
          </w:p>
        </w:tc>
      </w:tr>
    </w:tbl>
    <w:p>
      <w:pPr>
        <w:spacing w:after="0" w:before="120"/>
      </w:pPr>
      <w:r>
        <w:t xml:space="preserve"/>
      </w:r>
    </w:p>
    <w:p>
      <w:pPr>
        <w:spacing w:after="100" w:before="80"/>
      </w:pPr>
      <w:r>
        <w:rPr>
          <w:rFonts w:ascii="Arial" w:cs="Arial" w:eastAsia="Arial" w:hAnsi="Arial"/>
          <w:b w:val="false"/>
          <w:bCs w:val="false"/>
          <w:i w:val="false"/>
          <w:iCs w:val="false"/>
          <w:color w:val="1A1730"/>
          <w:sz w:val="20"/>
          <w:szCs w:val="20"/>
        </w:rPr>
        <w:t xml:space="preserve">When a client asks “how did you get that number”, you can say:</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17"/>
                <w:szCs w:val="17"/>
              </w:rPr>
              <w:t xml:space="preserve">SAY THIS</w:t>
            </w:r>
          </w:p>
        </w:tc>
        <w:tc>
          <w:tcPr>
            <w:tcW w:type="dxa" w:w="8206"/>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“The score comes from five factors: population, household income, median age, distance to nearest existing store, and number of competitors nearby. Each factor is weighted and combined into a single score out of 100. We can show you exactly how each factor contributes for any suburb on the list.”</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3. How recent is the data — and why is it accurate?</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506"/>
      </w:tblGrid>
      <w:tr>
        <w:tc>
          <w:tcPr>
            <w:tcW w:type="dxa" w:w="26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Data source</w:t>
            </w:r>
          </w:p>
        </w:tc>
        <w:tc>
          <w:tcPr>
            <w:tcW w:type="dxa" w:w="24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How recent</w:t>
            </w:r>
          </w:p>
        </w:tc>
        <w:tc>
          <w:tcPr>
            <w:tcW w:type="dxa" w:w="45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Why it is accurate</w:t>
            </w:r>
          </w:p>
        </w:tc>
      </w:tr>
      <w:tr>
        <w:tc>
          <w:tcPr>
            <w:tcW w:type="dxa" w:w="2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ABS Census
(population, income, age)</w:t>
            </w:r>
          </w:p>
        </w:tc>
        <w:tc>
          <w:tcPr>
            <w:tcW w:type="dxa" w:w="24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18"/>
                <w:szCs w:val="18"/>
              </w:rPr>
              <w:t xml:space="preserve">2021 — updated every 5 years. Next release: 2026.</w:t>
            </w:r>
          </w:p>
        </w:tc>
        <w:tc>
          <w:tcPr>
            <w:tcW w:type="dxa" w:w="4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 national headcount of every person in Australia. Legally required participation. The most accurate demographic dataset available in any country. Not a survey or sample — the actual count.</w:t>
            </w:r>
          </w:p>
        </w:tc>
      </w:tr>
      <w:tr>
        <w:tc>
          <w:tcPr>
            <w:tcW w:type="dxa" w:w="2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Google Places API
(store + competitor locations)</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18"/>
                <w:szCs w:val="18"/>
              </w:rPr>
              <w:t xml:space="preserve">Updated in near real-time. New stores appear within days of opening.</w:t>
            </w:r>
          </w:p>
        </w:tc>
        <w:tc>
          <w:tcPr>
            <w:tcW w:type="dxa" w:w="45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Same data that powers Google Maps. If a store is on Google Maps, it is in our analysis. Over 5 billion updates processed daily globally.</w:t>
            </w:r>
          </w:p>
        </w:tc>
      </w:tr>
      <w:tr>
        <w:tc>
          <w:tcPr>
            <w:tcW w:type="dxa" w:w="2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Google Popular Times
(peak trading hours)</w:t>
            </w:r>
          </w:p>
        </w:tc>
        <w:tc>
          <w:tcPr>
            <w:tcW w:type="dxa" w:w="24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18"/>
                <w:szCs w:val="18"/>
              </w:rPr>
              <w:t xml:space="preserve">Live data — updated weekly.</w:t>
            </w:r>
          </w:p>
        </w:tc>
        <w:tc>
          <w:tcPr>
            <w:tcW w:type="dxa" w:w="4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Aggregated and anonymised from billions of Google Maps app sessions. Shows actual movement patterns, not estimates.</w:t>
            </w:r>
          </w:p>
        </w:tc>
      </w:tr>
      <w:tr>
        <w:tc>
          <w:tcPr>
            <w:tcW w:type="dxa" w:w="2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Estimated annual revenue</w:t>
            </w:r>
          </w:p>
        </w:tc>
        <w:tc>
          <w:tcPr>
            <w:tcW w:type="dxa" w:w="2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18"/>
                <w:szCs w:val="18"/>
              </w:rPr>
              <w:t xml:space="preserve">Calculated from our model. Not a guaranteed figure.</w:t>
            </w:r>
          </w:p>
        </w:tc>
        <w:tc>
          <w:tcPr>
            <w:tcW w:type="dxa" w:w="45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Based on industry benchmarks: 2% of catchment population visits weekly, average spend of 8. This is a conservative estimate used widely in retail site selection. It is a planning figure, not a financial forecast.</w:t>
            </w:r>
          </w:p>
        </w:tc>
      </w:tr>
    </w:tbl>
    <w:p>
      <w:pPr>
        <w:spacing w:after="0" w:before="1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FAEED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17"/>
                <w:szCs w:val="17"/>
              </w:rPr>
              <w:t xml:space="preserve">ON THE 2021 CENSUS</w:t>
            </w:r>
          </w:p>
        </w:tc>
        <w:tc>
          <w:tcPr>
            <w:tcW w:type="dxa" w:w="8206"/>
            <w:tcBorders>
              <w:top w:val="none" w:color="FFFFFF" w:sz="0"/>
              <w:left w:val="none" w:color="FFFFFF" w:sz="0"/>
              <w:bottom w:val="none" w:color="FFFFFF" w:sz="0"/>
              <w:right w:val="none" w:color="FFFFFF" w:sz="0"/>
            </w:tcBorders>
            <w:shd w:fill="FAEED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The 2021 Census is the most recent national data available. The next Census will be 2026. For fast-growing suburbs like Epping and Craigieburn, the real population is likely higher than the 2021 figure — which means our revenue estimates for those suburbs are conservative. We always flag this in the report.</w:t>
            </w:r>
          </w:p>
        </w:tc>
      </w:tr>
    </w:tbl>
    <w:p>
      <w:pPr>
        <w:spacing w:after="0" w:before="120"/>
      </w:pPr>
      <w:r>
        <w:t xml:space="preserve"/>
      </w:r>
    </w:p>
    <w:p>
      <w:pPr>
        <w:spacing w:after="100" w:before="80"/>
      </w:pPr>
      <w:r>
        <w:rPr>
          <w:rFonts w:ascii="Arial" w:cs="Arial" w:eastAsia="Arial" w:hAnsi="Arial"/>
          <w:b w:val="false"/>
          <w:bCs w:val="false"/>
          <w:i w:val="false"/>
          <w:iCs w:val="false"/>
          <w:color w:val="1A1730"/>
          <w:sz w:val="20"/>
          <w:szCs w:val="20"/>
        </w:rPr>
        <w:t xml:space="preserve">When a client asks about the age of the data:</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17"/>
                <w:szCs w:val="17"/>
              </w:rPr>
              <w:t xml:space="preserve">SAY THIS</w:t>
            </w:r>
          </w:p>
        </w:tc>
        <w:tc>
          <w:tcPr>
            <w:tcW w:type="dxa" w:w="8206"/>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“The demographic data is from the 2021 national Census — it is the most accurate dataset available in Australia and used by every major property consultancy, bank, and government body. For fast-growing suburbs the real numbers are likely better than we show, so our estimates are conservative.”</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4. What is on the map — what do the symbols mean?</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506"/>
      </w:tblGrid>
      <w:tr>
        <w:tc>
          <w:tcPr>
            <w:tcW w:type="dxa" w:w="14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Symbol</w:t>
            </w:r>
          </w:p>
        </w:tc>
        <w:tc>
          <w:tcPr>
            <w:tcW w:type="dxa" w:w="26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What it is</w:t>
            </w:r>
          </w:p>
        </w:tc>
        <w:tc>
          <w:tcPr>
            <w:tcW w:type="dxa" w:w="55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What it tells the client</w:t>
            </w:r>
          </w:p>
        </w:tc>
      </w:tr>
      <w:tr>
        <w:tc>
          <w:tcPr>
            <w:tcW w:type="dxa" w:w="14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D9E75"/>
                <w:sz w:val="20"/>
                <w:szCs w:val="20"/>
              </w:rPr>
              <w:t xml:space="preserve">● Green dot</w:t>
            </w:r>
          </w:p>
        </w:tc>
        <w:tc>
          <w:tcPr>
            <w:tcW w:type="dxa" w:w="2600"/>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18"/>
                <w:szCs w:val="18"/>
              </w:rPr>
              <w:t xml:space="preserve">Priority 1 suburb
(score ≥ 95)</w:t>
            </w:r>
          </w:p>
        </w:tc>
        <w:tc>
          <w:tcPr>
            <w:tcW w:type="dxa" w:w="5506"/>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This suburb is in the top tier. It has the population, income, age demographic, and whitespace that makes it a strong expansion candidate. Dot size shows population — a bigger dot means more people.</w:t>
            </w:r>
          </w:p>
        </w:tc>
      </w:tr>
      <w:tr>
        <w:tc>
          <w:tcPr>
            <w:tcW w:type="dxa" w:w="14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34AB7"/>
                <w:sz w:val="20"/>
                <w:szCs w:val="20"/>
              </w:rPr>
              <w:t xml:space="preserve">● Blue dot</w:t>
            </w:r>
          </w:p>
        </w:tc>
        <w:tc>
          <w:tcPr>
            <w:tcW w:type="dxa" w:w="2600"/>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534AB7"/>
                <w:sz w:val="18"/>
                <w:szCs w:val="18"/>
              </w:rPr>
              <w:t xml:space="preserve">Priority 2 suburb
(score 85–94)</w:t>
            </w:r>
          </w:p>
        </w:tc>
        <w:tc>
          <w:tcPr>
            <w:tcW w:type="dxa" w:w="5506"/>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An excellent opportunity, slightly below the top tier. Usually because income is slightly outside the ideal range or there is one competitor within 2km. Worth planning for Year 2.</w:t>
            </w:r>
          </w:p>
        </w:tc>
      </w:tr>
      <w:tr>
        <w:tc>
          <w:tcPr>
            <w:tcW w:type="dxa" w:w="14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F5E5A"/>
                <w:sz w:val="20"/>
                <w:szCs w:val="20"/>
              </w:rPr>
              <w:t xml:space="preserve">● Grey dot</w:t>
            </w:r>
          </w:p>
        </w:tc>
        <w:tc>
          <w:tcPr>
            <w:tcW w:type="dxa" w:w="2600"/>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5F5E5A"/>
                <w:sz w:val="18"/>
                <w:szCs w:val="18"/>
              </w:rPr>
              <w:t xml:space="preserve">Priority 3 suburb
(score below 85)</w:t>
            </w:r>
          </w:p>
        </w:tc>
        <w:tc>
          <w:tcPr>
            <w:tcW w:type="dxa" w:w="5506"/>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A moderate opportunity. Not excluded — still scored and ranked — but other suburbs should be prioritised first. May become relevant as the network grows.</w:t>
            </w:r>
          </w:p>
        </w:tc>
      </w:tr>
      <w:tr>
        <w:tc>
          <w:tcPr>
            <w:tcW w:type="dxa" w:w="14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BA7517"/>
                <w:sz w:val="20"/>
                <w:szCs w:val="20"/>
              </w:rPr>
              <w:t xml:space="preserve">■ Amber square</w:t>
            </w:r>
          </w:p>
        </w:tc>
        <w:tc>
          <w:tcPr>
            <w:tcW w:type="dxa" w:w="2600"/>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18"/>
                <w:szCs w:val="18"/>
              </w:rPr>
              <w:t xml:space="preserve">Existing store
(same brand)</w:t>
            </w:r>
          </w:p>
        </w:tc>
        <w:tc>
          <w:tcPr>
            <w:tcW w:type="dxa" w:w="5506"/>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Where the brand already operates. The dashed ring around it shows the 3km trade area — the catchment that store already serves. Suburbs inside the ring are already captured. Suburbs outside the ring are potential new customers.</w:t>
            </w:r>
          </w:p>
        </w:tc>
      </w:tr>
      <w:tr>
        <w:tc>
          <w:tcPr>
            <w:tcW w:type="dxa" w:w="1400"/>
            <w:tcBorders>
              <w:top w:val="single" w:color="D3D1C7" w:sz="1"/>
              <w:left w:val="single" w:color="D3D1C7" w:sz="1"/>
              <w:bottom w:val="single" w:color="D3D1C7" w:sz="1"/>
              <w:right w:val="single" w:color="D3D1C7" w:sz="1"/>
            </w:tcBorders>
            <w:shd w:fill="FCEBEB"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A32D2D"/>
                <w:sz w:val="20"/>
                <w:szCs w:val="20"/>
              </w:rPr>
              <w:t xml:space="preserve">● Red dot</w:t>
            </w:r>
          </w:p>
        </w:tc>
        <w:tc>
          <w:tcPr>
            <w:tcW w:type="dxa" w:w="2600"/>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A32D2D"/>
                <w:sz w:val="18"/>
                <w:szCs w:val="18"/>
              </w:rPr>
              <w:t xml:space="preserve">Competitor location</w:t>
            </w:r>
          </w:p>
        </w:tc>
        <w:tc>
          <w:tcPr>
            <w:tcW w:type="dxa" w:w="5506"/>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A competing brand operating in the same category. More red dots near a suburb = more competition = lower competition score for that suburb. Suburbs with no red dots nearby score maximum on the competition factor.</w:t>
            </w:r>
          </w:p>
        </w:tc>
      </w:tr>
      <w:tr>
        <w:tc>
          <w:tcPr>
            <w:tcW w:type="dxa" w:w="14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BA7517"/>
                <w:sz w:val="18"/>
                <w:szCs w:val="18"/>
              </w:rPr>
              <w:t xml:space="preserve">Dashed ring</w:t>
            </w:r>
          </w:p>
        </w:tc>
        <w:tc>
          <w:tcPr>
            <w:tcW w:type="dxa" w:w="2600"/>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18"/>
                <w:szCs w:val="18"/>
              </w:rPr>
              <w:t xml:space="preserve">3km trade area</w:t>
            </w:r>
          </w:p>
        </w:tc>
        <w:tc>
          <w:tcPr>
            <w:tcW w:type="dxa" w:w="5506"/>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 catchment radius around each existing store. Industry standard for QSR and food businesses. If a candidate suburb sits inside this ring, customers in that suburb already have convenient access to a nearby store.</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5. How is the estimated revenue calculated?</w:t>
      </w:r>
    </w:p>
    <w:p>
      <w:pPr>
        <w:spacing w:after="100" w:before="80"/>
      </w:pPr>
      <w:r>
        <w:rPr>
          <w:rFonts w:ascii="Arial" w:cs="Arial" w:eastAsia="Arial" w:hAnsi="Arial"/>
          <w:b w:val="false"/>
          <w:bCs w:val="false"/>
          <w:i w:val="false"/>
          <w:iCs w:val="false"/>
          <w:color w:val="1A1730"/>
          <w:sz w:val="20"/>
          <w:szCs w:val="20"/>
        </w:rPr>
        <w:t xml:space="preserve">This is the most common question from finance-literate clients. Here is the exact methodology:</w:t>
      </w:r>
    </w:p>
    <w:p>
      <w:pPr>
        <w:spacing w:after="0" w:before="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Step</w:t>
            </w:r>
          </w:p>
        </w:tc>
        <w:tc>
          <w:tcPr>
            <w:tcW w:type="dxa" w:w="65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Calculation</w:t>
            </w:r>
          </w:p>
        </w:tc>
      </w:tr>
      <w:tr>
        <w:tc>
          <w:tcPr>
            <w:tcW w:type="dxa" w:w="30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Catchment population</w:t>
            </w:r>
          </w:p>
        </w:tc>
        <w:tc>
          <w:tcPr>
            <w:tcW w:type="dxa" w:w="6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Total residents within 3km of the candidate site. From ABS Census 2021.</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Weekly customer estimate</w:t>
            </w:r>
          </w:p>
        </w:tc>
        <w:tc>
          <w:tcPr>
            <w:tcW w:type="dxa" w:w="65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2% of catchment population per week. This is the standard retail site selection benchmark used by GapMaps, CBRE Retail, and major franchise consultancies in Australia.</w:t>
            </w:r>
          </w:p>
        </w:tc>
      </w:tr>
      <w:tr>
        <w:tc>
          <w:tcPr>
            <w:tcW w:type="dxa" w:w="30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Average transaction value</w:t>
            </w:r>
          </w:p>
        </w:tc>
        <w:tc>
          <w:tcPr>
            <w:tcW w:type="dxa" w:w="6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8 per visit. Based on QSR industry average. Adjusted per client brief.</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Weekly revenue estimate</w:t>
            </w:r>
          </w:p>
        </w:tc>
        <w:tc>
          <w:tcPr>
            <w:tcW w:type="dxa" w:w="65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Weekly customers × 8 average spend.</w:t>
            </w:r>
          </w:p>
        </w:tc>
      </w:tr>
      <w:tr>
        <w:tc>
          <w:tcPr>
            <w:tcW w:type="dxa" w:w="30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Annual revenue estimate</w:t>
            </w:r>
          </w:p>
        </w:tc>
        <w:tc>
          <w:tcPr>
            <w:tcW w:type="dxa" w:w="6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Weekly revenue × 52 weeks.</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Example — Narre Warren</w:t>
            </w:r>
          </w:p>
        </w:tc>
        <w:tc>
          <w:tcPr>
            <w:tcW w:type="dxa" w:w="65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19"/>
                <w:szCs w:val="19"/>
              </w:rPr>
              <w:t xml:space="preserve">55,000 catchment × 2% = 1,100 weekly customers × 8 = 9,800/week × 52 = .03M estimated annual revenue.</w:t>
            </w:r>
          </w:p>
        </w:tc>
      </w:tr>
    </w:tbl>
    <w:p>
      <w:pPr>
        <w:spacing w:after="0" w:before="1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FAEED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17"/>
                <w:szCs w:val="17"/>
              </w:rPr>
              <w:t xml:space="preserve">IMPORTANT</w:t>
            </w:r>
          </w:p>
        </w:tc>
        <w:tc>
          <w:tcPr>
            <w:tcW w:type="dxa" w:w="8206"/>
            <w:tcBorders>
              <w:top w:val="none" w:color="FFFFFF" w:sz="0"/>
              <w:left w:val="none" w:color="FFFFFF" w:sz="0"/>
              <w:bottom w:val="none" w:color="FFFFFF" w:sz="0"/>
              <w:right w:val="none" w:color="FFFFFF" w:sz="0"/>
            </w:tcBorders>
            <w:shd w:fill="FAEED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The revenue estimate is a planning figure, not a financial guarantee. It uses conservative industry benchmarks. A well-run site typically exceeds this figure. We recommend clients treat it as a minimum baseline for financial modelling.</w:t>
            </w:r>
          </w:p>
        </w:tc>
      </w:tr>
    </w:tbl>
    <w:p>
      <w:pPr>
        <w:spacing w:after="0" w:before="120"/>
      </w:pPr>
      <w:r>
        <w:t xml:space="preserve"/>
      </w:r>
    </w:p>
    <w:p>
      <w:pPr>
        <w:spacing w:after="100" w:before="80"/>
      </w:pPr>
      <w:r>
        <w:rPr>
          <w:rFonts w:ascii="Arial" w:cs="Arial" w:eastAsia="Arial" w:hAnsi="Arial"/>
          <w:b w:val="false"/>
          <w:bCs w:val="false"/>
          <w:i w:val="false"/>
          <w:iCs w:val="false"/>
          <w:color w:val="1A1730"/>
          <w:sz w:val="20"/>
          <w:szCs w:val="20"/>
        </w:rPr>
        <w:t xml:space="preserve">When a client asks about the revenue number:</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17"/>
                <w:szCs w:val="17"/>
              </w:rPr>
              <w:t xml:space="preserve">SAY THIS</w:t>
            </w:r>
          </w:p>
        </w:tc>
        <w:tc>
          <w:tcPr>
            <w:tcW w:type="dxa" w:w="8206"/>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“The revenue estimate uses the same methodology as GapMaps and CBRE Retail — 2% weekly conversion of catchment population at average transaction value. It is a conservative planning figure, not a guarantee. Most well-run sites come in above it.”</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6. What are the peak trading hours?</w:t>
      </w:r>
    </w:p>
    <w:p>
      <w:pPr>
        <w:spacing w:after="100" w:before="80"/>
      </w:pPr>
      <w:r>
        <w:rPr>
          <w:rFonts w:ascii="Arial" w:cs="Arial" w:eastAsia="Arial" w:hAnsi="Arial"/>
          <w:b w:val="false"/>
          <w:bCs w:val="false"/>
          <w:i w:val="false"/>
          <w:iCs w:val="false"/>
          <w:color w:val="1A1730"/>
          <w:sz w:val="20"/>
          <w:szCs w:val="20"/>
        </w:rPr>
        <w:t xml:space="preserve">This is new data we added from Google Popular Times. It shows when people in each suburb are most active — by hour of day, for Friday and Saturday.</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534AB7"/>
                <w:sz w:val="17"/>
                <w:szCs w:val="17"/>
              </w:rPr>
              <w:t xml:space="preserve">SOURCE</w:t>
            </w:r>
          </w:p>
        </w:tc>
        <w:tc>
          <w:tcPr>
            <w:tcW w:type="dxa" w:w="8206"/>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Google aggregates billions of anonymised location signals from people who use Google Maps. It produces a busyness score from 0–100 for each hour of each day. 100 = as busy as this suburb ever gets. This data is updated weekly.</w:t>
            </w:r>
          </w:p>
        </w:tc>
      </w:tr>
    </w:tbl>
    <w:p>
      <w:pPr>
        <w:spacing w:after="0" w:before="120"/>
      </w:pPr>
      <w:r>
        <w:t xml:space="preserve"/>
      </w:r>
    </w:p>
    <w:p>
      <w:pPr>
        <w:spacing w:after="100" w:before="80"/>
      </w:pPr>
      <w:r>
        <w:rPr>
          <w:rFonts w:ascii="Arial" w:cs="Arial" w:eastAsia="Arial" w:hAnsi="Arial"/>
          <w:b w:val="false"/>
          <w:bCs w:val="false"/>
          <w:i w:val="false"/>
          <w:iCs w:val="false"/>
          <w:color w:val="1A1730"/>
          <w:sz w:val="20"/>
          <w:szCs w:val="20"/>
        </w:rPr>
        <w:t xml:space="preserve">Why it matters to a client:</w:t>
      </w:r>
    </w:p>
    <w:p>
      <w:pPr>
        <w:pStyle w:val="ListParagraph"/>
        <w:numPr>
          <w:ilvl w:val="0"/>
          <w:numId w:val="2"/>
        </w:numPr>
        <w:spacing w:after="60" w:before="60"/>
      </w:pPr>
      <w:r>
        <w:rPr>
          <w:rFonts w:ascii="Arial" w:cs="Arial" w:eastAsia="Arial" w:hAnsi="Arial"/>
          <w:color w:val="1A1730"/>
          <w:sz w:val="20"/>
          <w:szCs w:val="20"/>
        </w:rPr>
        <w:t xml:space="preserve">A QSR franchise that is busiest at 6pm Friday needs evening staff. One that peaks at 12pm Tuesday is a lunch trade business. These require completely different staffing and operating models.</w:t>
      </w:r>
    </w:p>
    <w:p>
      <w:pPr>
        <w:pStyle w:val="ListParagraph"/>
        <w:numPr>
          <w:ilvl w:val="0"/>
          <w:numId w:val="2"/>
        </w:numPr>
        <w:spacing w:after="60" w:before="60"/>
      </w:pPr>
      <w:r>
        <w:rPr>
          <w:rFonts w:ascii="Arial" w:cs="Arial" w:eastAsia="Arial" w:hAnsi="Arial"/>
          <w:color w:val="1A1730"/>
          <w:sz w:val="20"/>
          <w:szCs w:val="20"/>
        </w:rPr>
        <w:t xml:space="preserve">If a suburb peaks on Friday–Saturday evenings, that is a strong signal for food and entertainment businesses. If it peaks mid-morning on weekdays, it skews professional or office-adjacent.</w:t>
      </w:r>
    </w:p>
    <w:p>
      <w:pPr>
        <w:pStyle w:val="ListParagraph"/>
        <w:numPr>
          <w:ilvl w:val="0"/>
          <w:numId w:val="2"/>
        </w:numPr>
        <w:spacing w:after="60" w:before="60"/>
      </w:pPr>
      <w:r>
        <w:rPr>
          <w:rFonts w:ascii="Arial" w:cs="Arial" w:eastAsia="Arial" w:hAnsi="Arial"/>
          <w:color w:val="1A1730"/>
          <w:sz w:val="20"/>
          <w:szCs w:val="20"/>
        </w:rPr>
        <w:t xml:space="preserve">The format recommendation (Drive-thru vs Inline vs 24/7) is partly informed by the peak hours data. A suburb with strong late-night busyness is a candidate for 24/7 or extended hours trading.</w:t>
      </w:r>
    </w:p>
    <w:p>
      <w:pPr>
        <w:spacing w:after="0" w:before="120"/>
      </w:pPr>
      <w:r>
        <w:t xml:space="preserve"/>
      </w:r>
    </w:p>
    <w:p>
      <w:pPr>
        <w:spacing w:after="100" w:before="80"/>
      </w:pPr>
      <w:r>
        <w:rPr>
          <w:rFonts w:ascii="Arial" w:cs="Arial" w:eastAsia="Arial" w:hAnsi="Arial"/>
          <w:b w:val="false"/>
          <w:bCs w:val="false"/>
          <w:i w:val="false"/>
          <w:iCs w:val="false"/>
          <w:color w:val="1A1730"/>
          <w:sz w:val="20"/>
          <w:szCs w:val="20"/>
        </w:rPr>
        <w:t xml:space="preserve">When a client asks what the bars mean:</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17"/>
                <w:szCs w:val="17"/>
              </w:rPr>
              <w:t xml:space="preserve">SAY THIS</w:t>
            </w:r>
          </w:p>
        </w:tc>
        <w:tc>
          <w:tcPr>
            <w:tcW w:type="dxa" w:w="8206"/>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“Those bars show how busy this suburb is by hour of day on Friday, using Google’s movement data from Maps. The taller the bar, the more active the catchment at that time. It tells us when your customers are out and about — which directly informs trading hours and staffing.”</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7. Why should a client trust these numbers?</w:t>
      </w:r>
    </w:p>
    <w:p>
      <w:pPr>
        <w:spacing w:after="100" w:before="80"/>
      </w:pPr>
      <w:r>
        <w:rPr>
          <w:rFonts w:ascii="Arial" w:cs="Arial" w:eastAsia="Arial" w:hAnsi="Arial"/>
          <w:b w:val="false"/>
          <w:bCs w:val="false"/>
          <w:i w:val="false"/>
          <w:iCs w:val="false"/>
          <w:color w:val="1A1730"/>
          <w:sz w:val="20"/>
          <w:szCs w:val="20"/>
        </w:rPr>
        <w:t xml:space="preserve">This is the most important question. Here is the full credibility argument:</w:t>
      </w:r>
    </w:p>
    <w:p>
      <w:pPr>
        <w:spacing w:after="0" w:before="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Claim</w:t>
            </w:r>
          </w:p>
        </w:tc>
        <w:tc>
          <w:tcPr>
            <w:tcW w:type="dxa" w:w="63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Evidence</w:t>
            </w:r>
          </w:p>
        </w:tc>
      </w:tr>
      <w:tr>
        <w:tc>
          <w:tcPr>
            <w:tcW w:type="dxa" w:w="32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The demographic data is the most accurate available</w:t>
            </w:r>
          </w:p>
        </w:tc>
        <w:tc>
          <w:tcPr>
            <w:tcW w:type="dxa" w:w="63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ABS Census is legally mandated. Every household in Australia must respond. It is not a survey or a sample. It is the actual count — the same data used by the Reserve Bank, Treasury, and every state government.</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The competitor data is live</w:t>
            </w:r>
          </w:p>
        </w:tc>
        <w:tc>
          <w:tcPr>
            <w:tcW w:type="dxa" w:w="63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Sourced from the same Google Places database that powers Google Maps, used by over 1 billion people. Updated continuously. Any business that appears on Google Maps appears in our analysis.</w:t>
            </w:r>
          </w:p>
        </w:tc>
      </w:tr>
      <w:tr>
        <w:tc>
          <w:tcPr>
            <w:tcW w:type="dxa" w:w="32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The methodology is industry standard</w:t>
            </w:r>
          </w:p>
        </w:tc>
        <w:tc>
          <w:tcPr>
            <w:tcW w:type="dxa" w:w="63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 2% weekly conversion rate and 3km trade area are the standard benchmarks used by GapMaps (Australia's largest geomarketing firm), CBRE Retail, and JLL Property. We use the same inputs.</w:t>
            </w:r>
          </w:p>
        </w:tc>
      </w:tr>
      <w:tr>
        <w:tc>
          <w:tcPr>
            <w:tcW w:type="dxa" w:w="32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The model is transparent</w:t>
            </w:r>
          </w:p>
        </w:tc>
        <w:tc>
          <w:tcPr>
            <w:tcW w:type="dxa" w:w="63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We show the score breakdown for every suburb. The client can see exactly which factors contributed and by how much. Nothing is hidden.</w:t>
            </w:r>
          </w:p>
        </w:tc>
      </w:tr>
      <w:tr>
        <w:tc>
          <w:tcPr>
            <w:tcW w:type="dxa" w:w="32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We flag the limitations</w:t>
            </w:r>
          </w:p>
        </w:tc>
        <w:tc>
          <w:tcPr>
            <w:tcW w:type="dxa" w:w="63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We always note that the 2021 Census is the most recent available and that fast-growing suburbs may have higher real populations than we show. We recommend treating revenue estimates as conservative baselines.</w:t>
            </w:r>
          </w:p>
        </w:tc>
      </w:tr>
    </w:tbl>
    <w:p>
      <w:pPr>
        <w:spacing w:after="0" w:before="1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17"/>
                <w:szCs w:val="17"/>
              </w:rPr>
              <w:t xml:space="preserve">SAY THIS</w:t>
            </w:r>
          </w:p>
        </w:tc>
        <w:tc>
          <w:tcPr>
            <w:tcW w:type="dxa" w:w="8206"/>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“Our demographic data comes from the Australian Bureau of Statistics national Census — the same source used by the RBA, Treasury, and every major bank in Australia. Our competitor data is live from Google Maps. The revenue methodology is the same one GapMaps and CBRE use for retail site selection. We are applying professional-grade tools to your specific brief.”</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8. Quick-reference answers</w:t>
      </w:r>
    </w:p>
    <w:p>
      <w:pPr>
        <w:spacing w:after="100" w:before="80"/>
      </w:pPr>
      <w:r>
        <w:rPr>
          <w:rFonts w:ascii="Arial" w:cs="Arial" w:eastAsia="Arial" w:hAnsi="Arial"/>
          <w:b w:val="false"/>
          <w:bCs w:val="false"/>
          <w:i w:val="false"/>
          <w:iCs w:val="false"/>
          <w:color w:val="1A1730"/>
          <w:sz w:val="20"/>
          <w:szCs w:val="20"/>
        </w:rPr>
        <w:t xml:space="preserve">Print this page. These are the questions you will get and the answers to give.</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They ask</w:t>
            </w:r>
          </w:p>
        </w:tc>
        <w:tc>
          <w:tcPr>
            <w:tcW w:type="dxa" w:w="61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You say</w:t>
            </w:r>
          </w:p>
        </w:tc>
      </w:tr>
      <w:tr>
        <w:tc>
          <w:tcPr>
            <w:tcW w:type="dxa" w:w="34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“What does 100 mean?”</w:t>
            </w:r>
          </w:p>
        </w:tc>
        <w:tc>
          <w:tcPr>
            <w:tcW w:type="dxa" w:w="61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“It means this suburb scores at the top across all five factors we measure — population, income, age, whitespace, and competition. It is our highest-confidence recommendation.”</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“What does 88.5 mean?”</w:t>
            </w:r>
          </w:p>
        </w:tc>
        <w:tc>
          <w:tcPr>
            <w:tcW w:type="dxa" w:w="61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“It is an excellent opportunity — it slightly misses the top score on one or two factors. Usually income is slightly outside the ideal range or there is one competitor nearby. We show you exactly which factor drove the gap.”</w:t>
            </w:r>
          </w:p>
        </w:tc>
      </w:tr>
      <w:tr>
        <w:tc>
          <w:tcPr>
            <w:tcW w:type="dxa" w:w="34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“Where does the income data come from?”</w:t>
            </w:r>
          </w:p>
        </w:tc>
        <w:tc>
          <w:tcPr>
            <w:tcW w:type="dxa" w:w="61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 2021 national Census from the Australian Bureau of Statistics. Every household in Australia is legally required to respond. It is the most accurate demographic dataset in the country.”</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“Is the Census data out of date?”</w:t>
            </w:r>
          </w:p>
        </w:tc>
        <w:tc>
          <w:tcPr>
            <w:tcW w:type="dxa" w:w="61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 2021 Census is the most recent available — the next one is 2026. For growing suburbs like Epping or Craigieburn the real population is likely higher than what we show, so our estimates are actually conservative.”</w:t>
            </w:r>
          </w:p>
        </w:tc>
      </w:tr>
      <w:tr>
        <w:tc>
          <w:tcPr>
            <w:tcW w:type="dxa" w:w="34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“Where do the competitor dots come from?”</w:t>
            </w:r>
          </w:p>
        </w:tc>
        <w:tc>
          <w:tcPr>
            <w:tcW w:type="dxa" w:w="61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“Google Places API — the same database that powers Google Maps. If a business is on Google Maps it is in our analysis. It is updated in near real-time.”</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“What is the dashed ring around each store?”</w:t>
            </w:r>
          </w:p>
        </w:tc>
        <w:tc>
          <w:tcPr>
            <w:tcW w:type="dxa" w:w="61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“That is the 3km trade area — the catchment that store already serves. Any suburb inside that ring already has convenient access. We look for suburbs outside those rings.”</w:t>
            </w:r>
          </w:p>
        </w:tc>
      </w:tr>
      <w:tr>
        <w:tc>
          <w:tcPr>
            <w:tcW w:type="dxa" w:w="34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“How reliable is the revenue estimate?”</w:t>
            </w:r>
          </w:p>
        </w:tc>
        <w:tc>
          <w:tcPr>
            <w:tcW w:type="dxa" w:w="61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“It uses conservative industry benchmarks — 2% weekly conversion and 8 average spend — the same inputs GapMaps and CBRE use. Treat it as a planning floor. Well-run sites typically exceed it.”</w:t>
            </w:r>
          </w:p>
        </w:tc>
      </w:tr>
      <w:tr>
        <w:tc>
          <w:tcPr>
            <w:tcW w:type="dxa" w:w="34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“What do the peak hour bars show?”</w:t>
            </w:r>
          </w:p>
        </w:tc>
        <w:tc>
          <w:tcPr>
            <w:tcW w:type="dxa" w:w="61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“How busy the suburb is by hour on Friday, from Google’s movement data. It tells us when your customers are out and about — which informs trading hours, staffing, and what format store to open.”</w:t>
            </w:r>
          </w:p>
        </w:tc>
      </w:tr>
    </w:tbl>
    <w:p>
      <w:pPr>
        <w:spacing w:after="0" w:before="2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6215C" w:sz="8"/>
              <w:left w:val="none" w:color="FFFFFF" w:sz="0"/>
              <w:bottom w:val="none" w:color="FFFFFF" w:sz="0"/>
              <w:right w:val="none" w:color="FFFFFF" w:sz="0"/>
            </w:tcBorders>
            <w:shd w:fill="F7F6FE" w:val="clear"/>
            <w:tcMar>
              <w:top w:type="dxa" w:w="200"/>
              <w:left w:type="dxa" w:w="280"/>
              <w:bottom w:type="dxa" w:w="200"/>
              <w:right w:type="dxa" w:w="280"/>
            </w:tcMar>
          </w:tcPr>
          <w:p>
            <w:pPr>
              <w:spacing w:after="80" w:before="0"/>
            </w:pPr>
            <w:r>
              <w:rPr>
                <w:rFonts w:ascii="Arial" w:cs="Arial" w:eastAsia="Arial" w:hAnsi="Arial"/>
                <w:b/>
                <w:bCs/>
                <w:color w:val="26215C"/>
                <w:sz w:val="26"/>
                <w:szCs w:val="26"/>
              </w:rPr>
              <w:t xml:space="preserve">lok</w:t>
            </w:r>
            <w:r>
              <w:rPr>
                <w:rFonts w:ascii="Arial" w:cs="Arial" w:eastAsia="Arial" w:hAnsi="Arial"/>
                <w:b/>
                <w:bCs/>
                <w:color w:val="534AB7"/>
                <w:sz w:val="26"/>
                <w:szCs w:val="26"/>
              </w:rPr>
              <w:t xml:space="preserve">ko</w:t>
            </w:r>
            <w:r>
              <w:rPr>
                <w:rFonts w:ascii="Arial" w:cs="Arial" w:eastAsia="Arial" w:hAnsi="Arial"/>
                <w:color w:val="5F6B7A"/>
                <w:sz w:val="20"/>
                <w:szCs w:val="20"/>
              </w:rPr>
              <w:t xml:space="preserve">  ·  Sandra Zuluaga  ·  hello@lokko.au  ·  lokko.au</w:t>
            </w:r>
          </w:p>
          <w:p>
            <w:pPr>
              <w:spacing w:after="100" w:before="80"/>
            </w:pPr>
            <w:r>
              <w:rPr>
                <w:rFonts w:ascii="Arial" w:cs="Arial" w:eastAsia="Arial" w:hAnsi="Arial"/>
                <w:b w:val="false"/>
                <w:bCs w:val="false"/>
                <w:i w:val="false"/>
                <w:iCs w:val="false"/>
                <w:color w:val="5F6B7A"/>
                <w:sz w:val="16"/>
                <w:szCs w:val="16"/>
              </w:rPr>
              <w:t xml:space="preserve">This document is confidential and for internal sales use only.</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6215C"/>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6215C"/>
      <w:sz w:val="27"/>
      <w:szCs w:val="27"/>
    </w:rPr>
  </w:style>
  <w:style w:type="paragraph" w:styleId="Heading3">
    <w:name w:val="Heading 3"/>
    <w:basedOn w:val="Normal"/>
    <w:next w:val="Normal"/>
    <w:qFormat/>
    <w:pPr>
      <w:spacing w:after="80" w:before="180"/>
      <w:outlineLvl w:val="2"/>
    </w:pPr>
    <w:rPr>
      <w:rFonts w:ascii="Arial" w:cs="Arial" w:eastAsia="Arial" w:hAnsi="Arial"/>
      <w:b/>
      <w:bCs/>
      <w:color w:val="534AB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2026-04-16T09:20:33.412Z</dcterms:created>
  <dcterms:modified xsi:type="dcterms:W3CDTF">2026-04-16T09:20:33.412Z</dcterms:modified>
</cp:coreProperties>
</file>

<file path=docProps/custom.xml><?xml version="1.0" encoding="utf-8"?>
<Properties xmlns="http://schemas.openxmlformats.org/officeDocument/2006/custom-properties" xmlns:vt="http://schemas.openxmlformats.org/officeDocument/2006/docPropsVTypes"/>
</file>