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0" w:before="0"/>
        <w:jc w:val="center"/>
      </w:pPr>
      <w:r>
        <w:rPr>
          <w:rFonts w:ascii="Arial" w:cs="Arial" w:eastAsia="Arial" w:hAnsi="Arial"/>
          <w:b/>
          <w:bCs/>
          <w:color w:val="26215C"/>
          <w:sz w:val="80"/>
          <w:szCs w:val="80"/>
        </w:rPr>
        <w:t xml:space="preserve">lok</w:t>
      </w:r>
      <w:r>
        <w:rPr>
          <w:rFonts w:ascii="Arial" w:cs="Arial" w:eastAsia="Arial" w:hAnsi="Arial"/>
          <w:b/>
          <w:bCs/>
          <w:color w:val="534AB7"/>
          <w:sz w:val="80"/>
          <w:szCs w:val="80"/>
        </w:rPr>
        <w:t xml:space="preserve">ko</w:t>
      </w:r>
    </w:p>
    <w:p>
      <w:pPr>
        <w:spacing w:after="0" w:before="80"/>
      </w:pPr>
      <w:r>
        <w:t xml:space="preserve"/>
      </w:r>
    </w:p>
    <w:p>
      <w:pPr>
        <w:spacing w:after="0" w:before="0"/>
        <w:jc w:val="center"/>
      </w:pPr>
      <w:r>
        <w:rPr>
          <w:rFonts w:ascii="Arial" w:cs="Arial" w:eastAsia="Arial" w:hAnsi="Arial"/>
          <w:b/>
          <w:bCs/>
          <w:color w:val="26215C"/>
          <w:spacing w:val="100"/>
          <w:sz w:val="28"/>
          <w:szCs w:val="28"/>
        </w:rPr>
        <w:t xml:space="preserve">SALES TRAINING GUIDE</w:t>
      </w:r>
    </w:p>
    <w:p>
      <w:pPr>
        <w:spacing w:after="0" w:before="60"/>
      </w:pPr>
      <w:r>
        <w:t xml:space="preserve"/>
      </w:r>
    </w:p>
    <w:p>
      <w:pPr>
        <w:spacing w:after="0" w:before="0"/>
        <w:jc w:val="center"/>
      </w:pPr>
      <w:r>
        <w:rPr>
          <w:rFonts w:ascii="Arial" w:cs="Arial" w:eastAsia="Arial" w:hAnsi="Arial"/>
          <w:i/>
          <w:iCs/>
          <w:color w:val="5F6B7A"/>
          <w:sz w:val="21"/>
          <w:szCs w:val="21"/>
        </w:rPr>
        <w:t xml:space="preserve">Everything you need to pitch Lokko with confidence</w:t>
      </w:r>
    </w:p>
    <w:p>
      <w:pPr>
        <w:spacing w:after="0" w:before="24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7F6FE" w:val="clear"/>
            <w:tcMar>
              <w:top w:type="dxa" w:w="200"/>
              <w:left w:type="dxa" w:w="280"/>
              <w:bottom w:type="dxa" w:w="200"/>
              <w:right w:type="dxa" w:w="280"/>
            </w:tcMar>
          </w:tcPr>
          <w:p>
            <w:pPr>
              <w:spacing w:after="80" w:before="80"/>
            </w:pPr>
            <w:r>
              <w:rPr>
                <w:rFonts w:ascii="Arial" w:cs="Arial" w:eastAsia="Arial" w:hAnsi="Arial"/>
                <w:b/>
                <w:bCs/>
                <w:i w:val="false"/>
                <w:iCs w:val="false"/>
                <w:color w:val="26215C"/>
                <w:sz w:val="20"/>
                <w:szCs w:val="20"/>
              </w:rPr>
              <w:t xml:space="preserve">Who is this for?</w:t>
            </w:r>
          </w:p>
          <w:p>
            <w:pPr>
              <w:spacing w:after="60" w:before="80"/>
            </w:pPr>
            <w:r>
              <w:rPr>
                <w:rFonts w:ascii="Arial" w:cs="Arial" w:eastAsia="Arial" w:hAnsi="Arial"/>
                <w:b w:val="false"/>
                <w:bCs w:val="false"/>
                <w:i w:val="false"/>
                <w:iCs w:val="false"/>
                <w:color w:val="1A1730"/>
                <w:sz w:val="20"/>
                <w:szCs w:val="20"/>
              </w:rPr>
              <w:t xml:space="preserve">This guide is for Sandra’s husband and his friend who are helping pitch Lokko. You don’t need to understand the technical side. You need to tell a clear story, answer questions confidently, and know when to hand over to Sandra.</w:t>
            </w:r>
          </w:p>
          <w:p>
            <w:pPr>
              <w:spacing w:after="100" w:before="80"/>
            </w:pPr>
            <w:r>
              <w:rPr>
                <w:rFonts w:ascii="Arial" w:cs="Arial" w:eastAsia="Arial" w:hAnsi="Arial"/>
                <w:b/>
                <w:bCs/>
                <w:i w:val="false"/>
                <w:iCs w:val="false"/>
                <w:color w:val="1D9E75"/>
                <w:sz w:val="20"/>
                <w:szCs w:val="20"/>
              </w:rPr>
              <w:t xml:space="preserve">Read this once. Then you’re ready.</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1. The one-sentence pitch</w:t>
      </w:r>
    </w:p>
    <w:p>
      <w:pPr>
        <w:spacing w:after="100" w:before="80"/>
      </w:pPr>
      <w:r>
        <w:rPr>
          <w:rFonts w:ascii="Arial" w:cs="Arial" w:eastAsia="Arial" w:hAnsi="Arial"/>
          <w:b w:val="false"/>
          <w:bCs w:val="false"/>
          <w:i w:val="false"/>
          <w:iCs w:val="false"/>
          <w:color w:val="1A1730"/>
          <w:sz w:val="20"/>
          <w:szCs w:val="20"/>
        </w:rPr>
        <w:t xml:space="preserve">Memorise this. Say it out loud until it feels natural.</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534AB7" w:sz="12"/>
              <w:left w:val="none" w:color="FFFFFF" w:sz="0"/>
              <w:bottom w:val="none" w:color="FFFFFF" w:sz="0"/>
              <w:right w:val="none" w:color="FFFFFF" w:sz="0"/>
            </w:tcBorders>
            <w:shd w:fill="E6F1FB" w:val="clear"/>
            <w:tcMar>
              <w:top w:type="dxa" w:w="240"/>
              <w:left w:type="dxa" w:w="360"/>
              <w:bottom w:type="dxa" w:w="240"/>
              <w:right w:type="dxa" w:w="360"/>
            </w:tcMar>
          </w:tcPr>
          <w:p>
            <w:pPr>
              <w:spacing w:after="0" w:before="0"/>
              <w:jc w:val="center"/>
            </w:pPr>
            <w:r>
              <w:rPr>
                <w:rFonts w:ascii="Arial" w:cs="Arial" w:eastAsia="Arial" w:hAnsi="Arial"/>
                <w:b/>
                <w:bCs/>
                <w:i/>
                <w:iCs/>
                <w:color w:val="26215C"/>
                <w:sz w:val="24"/>
                <w:szCs w:val="24"/>
              </w:rPr>
              <w:t xml:space="preserve">“Lokko tells businesses exactly where to open their next location — using real government census data and competitor mapping, not guesswork.”</w:t>
            </w:r>
          </w:p>
        </w:tc>
      </w:tr>
    </w:tbl>
    <w:p>
      <w:pPr>
        <w:spacing w:after="0" w:before="120"/>
      </w:pPr>
      <w:r>
        <w:t xml:space="preserve"/>
      </w:r>
    </w:p>
    <w:p>
      <w:pPr>
        <w:spacing w:after="100" w:before="80"/>
      </w:pPr>
      <w:r>
        <w:rPr>
          <w:rFonts w:ascii="Arial" w:cs="Arial" w:eastAsia="Arial" w:hAnsi="Arial"/>
          <w:b w:val="false"/>
          <w:bCs w:val="false"/>
          <w:i w:val="false"/>
          <w:iCs w:val="false"/>
          <w:color w:val="1A1730"/>
          <w:sz w:val="20"/>
          <w:szCs w:val="20"/>
        </w:rPr>
        <w:t xml:space="preserve">If the person sells food, runs a gym, or owns a tutoring centre, that sentence lands immediately. Everything else flows from there.</w:t>
      </w:r>
    </w:p>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2. What Lokko actually does (plain English)</w:t>
      </w:r>
    </w:p>
    <w:p>
      <w:pPr>
        <w:pStyle w:val="Heading2"/>
        <w:spacing w:after="100" w:before="220"/>
      </w:pPr>
      <w:r>
        <w:rPr>
          <w:rFonts w:ascii="Arial" w:cs="Arial" w:eastAsia="Arial" w:hAnsi="Arial"/>
          <w:b/>
          <w:bCs/>
          <w:color w:val="26215C"/>
          <w:sz w:val="27"/>
          <w:szCs w:val="27"/>
        </w:rPr>
        <w:t xml:space="preserve">The problem we solve</w:t>
      </w:r>
    </w:p>
    <w:p>
      <w:pPr>
        <w:spacing w:after="100" w:before="80"/>
      </w:pPr>
      <w:r>
        <w:rPr>
          <w:rFonts w:ascii="Arial" w:cs="Arial" w:eastAsia="Arial" w:hAnsi="Arial"/>
          <w:b w:val="false"/>
          <w:bCs w:val="false"/>
          <w:i w:val="false"/>
          <w:iCs w:val="false"/>
          <w:color w:val="1A1730"/>
          <w:sz w:val="20"/>
          <w:szCs w:val="20"/>
        </w:rPr>
        <w:t xml:space="preserve">A business owner wants to open a second location. They ask around and pick a suburb that feels right. Half the time they're wrong. The wrong suburb means 3 years of underperformance, a lease they can't exit, and hundreds of thousands of dollars lost.</w:t>
      </w:r>
    </w:p>
    <w:p>
      <w:pPr>
        <w:pStyle w:val="Heading2"/>
        <w:spacing w:after="100" w:before="220"/>
      </w:pPr>
      <w:r>
        <w:rPr>
          <w:rFonts w:ascii="Arial" w:cs="Arial" w:eastAsia="Arial" w:hAnsi="Arial"/>
          <w:b/>
          <w:bCs/>
          <w:color w:val="26215C"/>
          <w:sz w:val="27"/>
          <w:szCs w:val="27"/>
        </w:rPr>
        <w:t xml:space="preserve">What we do instead</w:t>
      </w:r>
    </w:p>
    <w:p>
      <w:pPr>
        <w:spacing w:after="100" w:before="80"/>
      </w:pPr>
      <w:r>
        <w:rPr>
          <w:rFonts w:ascii="Arial" w:cs="Arial" w:eastAsia="Arial" w:hAnsi="Arial"/>
          <w:b w:val="false"/>
          <w:bCs w:val="false"/>
          <w:i w:val="false"/>
          <w:iCs w:val="false"/>
          <w:color w:val="1A1730"/>
          <w:sz w:val="20"/>
          <w:szCs w:val="20"/>
        </w:rPr>
        <w:t xml:space="preserve">We take the Australian government's census data — population, income, age, family structure — and combine it with live competitor locations and Google's Popular Times data (how busy each area is by hour of day). Our scoring model ranks every Melbourne suburb. The client gets a PDF report and an interactive dashboard they can share with their board.</w:t>
      </w:r>
    </w:p>
    <w:p>
      <w:pPr>
        <w:spacing w:after="0" w:before="200"/>
      </w:pPr>
      <w:r>
        <w:t xml:space="preserve"/>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6215C" w:val="clear"/>
            <w:tcMar>
              <w:top w:type="dxa" w:w="280"/>
              <w:left w:type="dxa" w:w="360"/>
              <w:bottom w:type="dxa" w:w="280"/>
              <w:right w:type="dxa" w:w="360"/>
            </w:tcMar>
          </w:tcPr>
          <w:p>
            <w:pPr>
              <w:spacing w:after="0" w:before="0"/>
              <w:jc w:val="center"/>
            </w:pPr>
            <w:r>
              <w:rPr>
                <w:rFonts w:ascii="Arial" w:cs="Arial" w:eastAsia="Arial" w:hAnsi="Arial"/>
                <w:b/>
                <w:bCs/>
                <w:color w:val="FFFFFF"/>
                <w:sz w:val="36"/>
                <w:szCs w:val="36"/>
              </w:rPr>
              <w:t xml:space="preserve">lok</w:t>
            </w:r>
            <w:r>
              <w:rPr>
                <w:rFonts w:ascii="Arial" w:cs="Arial" w:eastAsia="Arial" w:hAnsi="Arial"/>
                <w:b/>
                <w:bCs/>
                <w:color w:val="85B7EB"/>
                <w:sz w:val="36"/>
                <w:szCs w:val="36"/>
              </w:rPr>
              <w:t xml:space="preserve">ko</w:t>
            </w:r>
          </w:p>
          <w:p>
            <w:pPr>
              <w:spacing w:after="0" w:before="80"/>
              <w:jc w:val="center"/>
            </w:pPr>
            <w:r>
              <w:rPr>
                <w:rFonts w:ascii="Arial" w:cs="Arial" w:eastAsia="Arial" w:hAnsi="Arial"/>
                <w:b/>
                <w:bCs/>
                <w:color w:val="FFFFFF"/>
                <w:sz w:val="26"/>
                <w:szCs w:val="26"/>
              </w:rPr>
              <w:t xml:space="preserve">What we sell — and what it costs</w:t>
            </w:r>
          </w:p>
          <w:p>
            <w:pPr>
              <w:spacing w:after="0" w:before="60"/>
              <w:jc w:val="center"/>
            </w:pPr>
            <w:r>
              <w:rPr>
                <w:rFonts w:ascii="Arial" w:cs="Arial" w:eastAsia="Arial" w:hAnsi="Arial"/>
                <w:i/>
                <w:iCs/>
                <w:color w:val="B5D4F4"/>
                <w:sz w:val="18"/>
                <w:szCs w:val="18"/>
              </w:rPr>
              <w:t xml:space="preserve">Our main product is the Full Site Selection Analysis. Always start with the free audit.</w:t>
            </w:r>
          </w:p>
        </w:tc>
      </w:tr>
    </w:tbl>
    <w:p>
      <w:pPr>
        <w:spacing w:after="0" w:before="1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7406"/>
      </w:tblGrid>
      <w:tr>
        <w:tc>
          <w:tcPr>
            <w:tcW w:type="dxa" w:w="2100"/>
            <w:tcBorders>
              <w:top w:val="single" w:color="1D9E75" w:sz="1"/>
              <w:left w:val="single" w:color="1D9E75" w:sz="1"/>
              <w:bottom w:val="single" w:color="1D9E75" w:sz="1"/>
              <w:right w:val="single" w:color="1D9E75" w:sz="1"/>
            </w:tcBorders>
            <w:shd w:fill="E1F5EE" w:val="clear"/>
            <w:tcMar>
              <w:top w:type="dxa" w:w="200"/>
              <w:left w:type="dxa" w:w="180"/>
              <w:bottom w:type="dxa" w:w="200"/>
              <w:right w:type="dxa" w:w="180"/>
            </w:tcMar>
          </w:tcPr>
          <w:p>
            <w:pPr>
              <w:spacing w:after="4" w:before="80"/>
            </w:pPr>
            <w:r>
              <w:rPr>
                <w:rFonts w:ascii="Arial" w:cs="Arial" w:eastAsia="Arial" w:hAnsi="Arial"/>
                <w:b/>
                <w:bCs/>
                <w:i w:val="false"/>
                <w:iCs w:val="false"/>
                <w:color w:val="1D9E75"/>
                <w:sz w:val="32"/>
                <w:szCs w:val="32"/>
              </w:rPr>
              <w:t xml:space="preserve">FREE</w:t>
            </w:r>
          </w:p>
          <w:p>
            <w:pPr>
              <w:spacing w:after="100" w:before="80"/>
            </w:pPr>
            <w:r>
              <w:rPr>
                <w:rFonts w:ascii="Arial" w:cs="Arial" w:eastAsia="Arial" w:hAnsi="Arial"/>
                <w:b w:val="false"/>
                <w:bCs w:val="false"/>
                <w:i w:val="false"/>
                <w:iCs w:val="false"/>
                <w:color w:val="0F6E56"/>
                <w:sz w:val="17"/>
                <w:szCs w:val="17"/>
              </w:rPr>
              <w:t xml:space="preserve">Territorial Audit</w:t>
            </w:r>
          </w:p>
        </w:tc>
        <w:tc>
          <w:tcPr>
            <w:tcW w:type="dxa" w:w="7406"/>
            <w:tcBorders>
              <w:top w:val="single" w:color="1D9E75" w:sz="1"/>
              <w:left w:val="single" w:color="1D9E75" w:sz="1"/>
              <w:bottom w:val="single" w:color="1D9E75" w:sz="1"/>
              <w:right w:val="single" w:color="1D9E75" w:sz="1"/>
            </w:tcBorders>
            <w:tcMar>
              <w:top w:type="dxa" w:w="160"/>
              <w:left w:type="dxa" w:w="180"/>
              <w:bottom w:type="dxa" w:w="160"/>
              <w:right w:type="dxa" w:w="180"/>
            </w:tcMar>
          </w:tcPr>
          <w:p>
            <w:pPr>
              <w:spacing w:after="80" w:before="80"/>
            </w:pPr>
            <w:r>
              <w:rPr>
                <w:rFonts w:ascii="Arial" w:cs="Arial" w:eastAsia="Arial" w:hAnsi="Arial"/>
                <w:b/>
                <w:bCs/>
                <w:i w:val="false"/>
                <w:iCs w:val="false"/>
                <w:color w:val="1D9E75"/>
                <w:sz w:val="21"/>
                <w:szCs w:val="21"/>
              </w:rPr>
              <w:t xml:space="preserve">The lead magnet. Always offer this first.</w:t>
            </w:r>
          </w:p>
          <w:p>
            <w:pPr>
              <w:spacing w:after="80" w:before="80"/>
            </w:pPr>
            <w:r>
              <w:rPr>
                <w:rFonts w:ascii="Arial" w:cs="Arial" w:eastAsia="Arial" w:hAnsi="Arial"/>
                <w:b w:val="false"/>
                <w:bCs w:val="false"/>
                <w:i w:val="false"/>
                <w:iCs w:val="false"/>
                <w:color w:val="1A1730"/>
                <w:sz w:val="20"/>
                <w:szCs w:val="20"/>
              </w:rPr>
              <w:t xml:space="preserve">Nobody says no to free. Once they see the PDF and the dashboard, they understand what the paid version looks like.</w:t>
            </w:r>
          </w:p>
          <w:p>
            <w:pPr>
              <w:pStyle w:val="ListParagraph"/>
              <w:numPr>
                <w:ilvl w:val="0"/>
                <w:numId w:val="2"/>
              </w:numPr>
              <w:spacing w:after="60" w:before="60"/>
            </w:pPr>
            <w:r>
              <w:rPr>
                <w:rFonts w:ascii="Arial" w:cs="Arial" w:eastAsia="Arial" w:hAnsi="Arial"/>
                <w:color w:val="1A1730"/>
                <w:sz w:val="20"/>
                <w:szCs w:val="20"/>
              </w:rPr>
              <w:t xml:space="preserve">Top 3 suburb recommendations with plain-English reasoning</w:t>
            </w:r>
          </w:p>
          <w:p>
            <w:pPr>
              <w:pStyle w:val="ListParagraph"/>
              <w:numPr>
                <w:ilvl w:val="0"/>
                <w:numId w:val="2"/>
              </w:numPr>
              <w:spacing w:after="60" w:before="60"/>
            </w:pPr>
            <w:r>
              <w:rPr>
                <w:rFonts w:ascii="Arial" w:cs="Arial" w:eastAsia="Arial" w:hAnsi="Arial"/>
                <w:color w:val="1A1730"/>
                <w:sz w:val="20"/>
                <w:szCs w:val="20"/>
              </w:rPr>
              <w:t xml:space="preserve">Competitor snapshot for their catchment area</w:t>
            </w:r>
          </w:p>
          <w:p>
            <w:pPr>
              <w:pStyle w:val="ListParagraph"/>
              <w:numPr>
                <w:ilvl w:val="0"/>
                <w:numId w:val="2"/>
              </w:numPr>
              <w:spacing w:after="60" w:before="60"/>
            </w:pPr>
            <w:r>
              <w:rPr>
                <w:rFonts w:ascii="Arial" w:cs="Arial" w:eastAsia="Arial" w:hAnsi="Arial"/>
                <w:color w:val="1A1730"/>
                <w:sz w:val="20"/>
                <w:szCs w:val="20"/>
              </w:rPr>
              <w:t xml:space="preserve">One-page PDF — shareable with their team or board</w:t>
            </w:r>
          </w:p>
          <w:p>
            <w:pPr>
              <w:pStyle w:val="ListParagraph"/>
              <w:numPr>
                <w:ilvl w:val="0"/>
                <w:numId w:val="2"/>
              </w:numPr>
              <w:spacing w:after="60" w:before="60"/>
            </w:pPr>
            <w:r>
              <w:rPr>
                <w:rFonts w:ascii="Arial" w:cs="Arial" w:eastAsia="Arial" w:hAnsi="Arial"/>
                <w:color w:val="1A1730"/>
                <w:sz w:val="20"/>
                <w:szCs w:val="20"/>
              </w:rPr>
              <w:t xml:space="preserve">Delivered within 5 business days. No call required.</w:t>
            </w:r>
          </w:p>
          <w:p>
            <w:pPr>
              <w:spacing w:after="0" w:before="80"/>
            </w:pPr>
            <w:r>
              <w:t xml:space="preserve"/>
            </w:r>
          </w:p>
          <w:p>
            <w:pPr>
              <w:spacing w:after="100" w:before="80"/>
            </w:pPr>
            <w:r>
              <w:rPr>
                <w:rFonts w:ascii="Arial" w:cs="Arial" w:eastAsia="Arial" w:hAnsi="Arial"/>
                <w:b/>
                <w:bCs/>
                <w:i w:val="false"/>
                <w:iCs w:val="false"/>
                <w:color w:val="1D9E75"/>
                <w:sz w:val="19"/>
                <w:szCs w:val="19"/>
              </w:rPr>
              <w:t xml:space="preserve">How to close: “Can I get your business email? Sandra will have something to you within 5 days.”</w:t>
            </w:r>
          </w:p>
        </w:tc>
      </w:tr>
    </w:tbl>
    <w:p>
      <w:pPr>
        <w:spacing w:after="0" w:before="1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534AB7" w:sz="8"/>
              <w:left w:val="none" w:color="FFFFFF" w:sz="0"/>
              <w:bottom w:val="none" w:color="FFFFFF" w:sz="0"/>
              <w:right w:val="none" w:color="FFFFFF" w:sz="0"/>
            </w:tcBorders>
            <w:shd w:fill="F0F3FF" w:val="clear"/>
            <w:tcMar>
              <w:top w:type="dxa" w:w="200"/>
              <w:left w:type="dxa" w:w="240"/>
              <w:bottom w:type="dxa" w:w="160"/>
              <w:right w:type="dxa" w:w="24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4" w:before="80"/>
                  </w:pPr>
                  <w:r>
                    <w:rPr>
                      <w:rFonts w:ascii="Arial" w:cs="Arial" w:eastAsia="Arial" w:hAnsi="Arial"/>
                      <w:b/>
                      <w:bCs/>
                      <w:i w:val="false"/>
                      <w:iCs w:val="false"/>
                      <w:color w:val="26215C"/>
                      <w:sz w:val="28"/>
                      <w:szCs w:val="28"/>
                    </w:rPr>
                    <w:t xml:space="preserve">Full Site Selection Analysis</w:t>
                  </w:r>
                </w:p>
                <w:p>
                  <w:pPr>
                    <w:spacing w:after="100" w:before="80"/>
                  </w:pPr>
                  <w:r>
                    <w:rPr>
                      <w:rFonts w:ascii="Arial" w:cs="Arial" w:eastAsia="Arial" w:hAnsi="Arial"/>
                      <w:b w:val="false"/>
                      <w:bCs w:val="false"/>
                      <w:i/>
                      <w:iCs/>
                      <w:color w:val="5F6B7A"/>
                      <w:sz w:val="17"/>
                      <w:szCs w:val="17"/>
                    </w:rPr>
                    <w:t xml:space="preserve">Our flagship product</w:t>
                  </w:r>
                </w:p>
              </w:tc>
              <w:tc>
                <w:tcPr>
                  <w:tcW w:type="dxa" w:w="3826"/>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jc w:val="right"/>
                  </w:pPr>
                  <w:r>
                    <w:rPr>
                      <w:rFonts w:ascii="Arial" w:cs="Arial" w:eastAsia="Arial" w:hAnsi="Arial"/>
                      <w:b/>
                      <w:bCs/>
                      <w:color w:val="534AB7"/>
                      <w:sz w:val="32"/>
                      <w:szCs w:val="32"/>
                    </w:rPr>
                    <w:t xml:space="preserve">$5,000 – $15,000</w:t>
                  </w:r>
                </w:p>
                <w:p>
                  <w:pPr>
                    <w:spacing w:after="0" w:before="4"/>
                    <w:jc w:val="right"/>
                  </w:pPr>
                  <w:r>
                    <w:rPr>
                      <w:rFonts w:ascii="Arial" w:cs="Arial" w:eastAsia="Arial" w:hAnsi="Arial"/>
                      <w:i/>
                      <w:iCs/>
                      <w:color w:val="5F6B7A"/>
                      <w:sz w:val="16"/>
                      <w:szCs w:val="16"/>
                    </w:rPr>
                    <w:t xml:space="preserve">per engagement · 5–7 business days</w:t>
                  </w:r>
                </w:p>
              </w:tc>
            </w:tr>
          </w:tbl>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c>
          <w:tcPr>
            <w:tcW w:type="dxa" w:w="46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What the client gets</w:t>
            </w:r>
          </w:p>
        </w:tc>
        <w:tc>
          <w:tcPr>
            <w:tcW w:type="dxa" w:w="49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Why it matters to them</w:t>
            </w:r>
          </w:p>
        </w:tc>
      </w:tr>
      <w:tr>
        <w:tc>
          <w:tcPr>
            <w:tcW w:type="dxa" w:w="4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All 40+ Melbourne suburbs scored and ranked</w:t>
            </w:r>
          </w:p>
        </w:tc>
        <w:tc>
          <w:tcPr>
            <w:tcW w:type="dxa" w:w="4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They see every option, not just 3. Makes the recommendation defensible.</w:t>
            </w:r>
          </w:p>
        </w:tc>
      </w:tr>
      <w:tr>
        <w:tc>
          <w:tcPr>
            <w:tcW w:type="dxa" w:w="4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Full scoring breakdown per suburb across 5 factors</w:t>
            </w:r>
          </w:p>
        </w:tc>
        <w:tc>
          <w:tcPr>
            <w:tcW w:type="dxa" w:w="4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They understand exactly WHY a suburb scores high. Builds trust.</w:t>
            </w:r>
          </w:p>
        </w:tc>
      </w:tr>
      <w:tr>
        <w:tc>
          <w:tcPr>
            <w:tcW w:type="dxa" w:w="4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Trade area population + revenue model</w:t>
            </w:r>
          </w:p>
        </w:tc>
        <w:tc>
          <w:tcPr>
            <w:tcW w:type="dxa" w:w="4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Gives them a financial case for the board. "This site could do $1.2M."</w:t>
            </w:r>
          </w:p>
        </w:tc>
      </w:tr>
      <w:tr>
        <w:tc>
          <w:tcPr>
            <w:tcW w:type="dxa" w:w="4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Competitor breakdown per suburb</w:t>
            </w:r>
          </w:p>
        </w:tc>
        <w:tc>
          <w:tcPr>
            <w:tcW w:type="dxa" w:w="4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Shows exactly who they're up against at each candidate site.</w:t>
            </w:r>
          </w:p>
        </w:tc>
      </w:tr>
      <w:tr>
        <w:tc>
          <w:tcPr>
            <w:tcW w:type="dxa" w:w="4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Google Popular Times — peak trading hours</w:t>
            </w:r>
          </w:p>
        </w:tc>
        <w:tc>
          <w:tcPr>
            <w:tcW w:type="dxa" w:w="4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When the suburb is busiest by hour. Tells them staffing and trading strategy.</w:t>
            </w:r>
          </w:p>
        </w:tc>
      </w:tr>
      <w:tr>
        <w:tc>
          <w:tcPr>
            <w:tcW w:type="dxa" w:w="4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Consumer spending profile per suburb</w:t>
            </w:r>
          </w:p>
        </w:tc>
        <w:tc>
          <w:tcPr>
            <w:tcW w:type="dxa" w:w="4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What this suburb's residents actually spend money on. Food, recreation, fitness.</w:t>
            </w:r>
          </w:p>
        </w:tc>
      </w:tr>
      <w:tr>
        <w:tc>
          <w:tcPr>
            <w:tcW w:type="dxa" w:w="4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Interactive map dashboard (shareable HTML)</w:t>
            </w:r>
          </w:p>
        </w:tc>
        <w:tc>
          <w:tcPr>
            <w:tcW w:type="dxa" w:w="4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Share with their whole property team. Toggle layers, click suburbs for details.</w:t>
            </w:r>
          </w:p>
        </w:tc>
      </w:tr>
      <w:tr>
        <w:tc>
          <w:tcPr>
            <w:tcW w:type="dxa" w:w="4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Recommended store format per site</w:t>
            </w:r>
          </w:p>
        </w:tc>
        <w:tc>
          <w:tcPr>
            <w:tcW w:type="dxa" w:w="4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Drive-thru, inline, or 24/7. Takes the guesswork out of the brief.</w:t>
            </w:r>
          </w:p>
        </w:tc>
      </w:tr>
      <w:tr>
        <w:tc>
          <w:tcPr>
            <w:tcW w:type="dxa" w:w="4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Polished presentation deck</w:t>
            </w:r>
          </w:p>
        </w:tc>
        <w:tc>
          <w:tcPr>
            <w:tcW w:type="dxa" w:w="4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Board-ready slides. Present findings the same week they receive them.</w:t>
            </w:r>
          </w:p>
        </w:tc>
      </w:tr>
    </w:tbl>
    <w:p>
      <w:pPr>
        <w:spacing w:after="0" w:before="140"/>
      </w:pPr>
      <w:r>
        <w:t xml:space="preserve"/>
      </w:r>
    </w:p>
    <w:p>
      <w:pPr>
        <w:pStyle w:val="Heading3"/>
        <w:spacing w:after="80" w:before="180"/>
      </w:pPr>
      <w:r>
        <w:rPr>
          <w:rFonts w:ascii="Arial" w:cs="Arial" w:eastAsia="Arial" w:hAnsi="Arial"/>
          <w:b/>
          <w:bCs/>
          <w:color w:val="534AB7"/>
          <w:sz w:val="23"/>
          <w:szCs w:val="23"/>
        </w:rPr>
        <w:t xml:space="preserve">How the price varies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000"/>
        <w:gridCol w:w="3006"/>
      </w:tblGrid>
      <w:tr>
        <w:tc>
          <w:tcPr>
            <w:tcW w:type="dxa" w:w="17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Scope</w:t>
            </w:r>
          </w:p>
        </w:tc>
        <w:tc>
          <w:tcPr>
            <w:tcW w:type="dxa" w:w="28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What changes</w:t>
            </w:r>
          </w:p>
        </w:tc>
        <w:tc>
          <w:tcPr>
            <w:tcW w:type="dxa" w:w="20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Price range</w:t>
            </w:r>
          </w:p>
        </w:tc>
        <w:tc>
          <w:tcPr>
            <w:tcW w:type="dxa" w:w="30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When to use</w:t>
            </w:r>
          </w:p>
        </w:tc>
      </w:tr>
      <w:tr>
        <w:tc>
          <w:tcPr>
            <w:tcW w:type="dxa" w:w="17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19"/>
                <w:szCs w:val="19"/>
              </w:rPr>
              <w:t xml:space="preserve">Core</w:t>
            </w:r>
          </w:p>
        </w:tc>
        <w:tc>
          <w:tcPr>
            <w:tcW w:type="dxa" w:w="28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1 state · top 5 suburbs · PDF + interactive map</w:t>
            </w:r>
          </w:p>
        </w:tc>
        <w:tc>
          <w:tcPr>
            <w:tcW w:type="dxa" w:w="200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D9E75"/>
                <w:sz w:val="20"/>
                <w:szCs w:val="20"/>
              </w:rPr>
              <w:t xml:space="preserve">$5,000</w:t>
            </w:r>
          </w:p>
        </w:tc>
        <w:tc>
          <w:tcPr>
            <w:tcW w:type="dxa" w:w="30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First project with a new client. Proves the model.</w:t>
            </w:r>
          </w:p>
        </w:tc>
      </w:tr>
      <w:tr>
        <w:tc>
          <w:tcPr>
            <w:tcW w:type="dxa" w:w="17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9"/>
                <w:szCs w:val="19"/>
              </w:rPr>
              <w:t xml:space="preserve">Standard</w:t>
            </w:r>
          </w:p>
        </w:tc>
        <w:tc>
          <w:tcPr>
            <w:tcW w:type="dxa" w:w="28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1–2 states · full 40+ suburb ranking · all deliverables</w:t>
            </w:r>
          </w:p>
        </w:tc>
        <w:tc>
          <w:tcPr>
            <w:tcW w:type="dxa" w:w="20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20"/>
                <w:szCs w:val="20"/>
              </w:rPr>
              <w:t xml:space="preserve">$8,000–$10,000</w:t>
            </w:r>
          </w:p>
        </w:tc>
        <w:tc>
          <w:tcPr>
            <w:tcW w:type="dxa" w:w="30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Most common engagement. Best value point.</w:t>
            </w:r>
          </w:p>
        </w:tc>
      </w:tr>
      <w:tr>
        <w:tc>
          <w:tcPr>
            <w:tcW w:type="dxa" w:w="17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19"/>
                <w:szCs w:val="19"/>
              </w:rPr>
              <w:t xml:space="preserve">National</w:t>
            </w:r>
          </w:p>
        </w:tc>
        <w:tc>
          <w:tcPr>
            <w:tcW w:type="dxa" w:w="28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All states · multiple brands · presentation deck</w:t>
            </w:r>
          </w:p>
        </w:tc>
        <w:tc>
          <w:tcPr>
            <w:tcW w:type="dxa" w:w="200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BA7517"/>
                <w:sz w:val="20"/>
                <w:szCs w:val="20"/>
              </w:rPr>
              <w:t xml:space="preserve">$12,000–$15,000</w:t>
            </w:r>
          </w:p>
        </w:tc>
        <w:tc>
          <w:tcPr>
            <w:tcW w:type="dxa" w:w="3006"/>
            <w:tcBorders>
              <w:top w:val="single" w:color="D3D1C7" w:sz="1"/>
              <w:left w:val="single" w:color="D3D1C7" w:sz="1"/>
              <w:bottom w:val="single" w:color="D3D1C7" w:sz="1"/>
              <w:right w:val="single" w:color="D3D1C7"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Franchise groups expanding across Australia.</w:t>
            </w:r>
          </w:p>
        </w:tc>
      </w:tr>
    </w:tbl>
    <w:p>
      <w:pPr>
        <w:spacing w:after="0" w:before="140"/>
      </w:pPr>
      <w:r>
        <w:t xml:space="preserve"/>
      </w:r>
    </w:p>
    <w:p>
      <w:pPr>
        <w:pStyle w:val="Heading3"/>
        <w:spacing w:after="80" w:before="180"/>
      </w:pPr>
      <w:r>
        <w:rPr>
          <w:rFonts w:ascii="Arial" w:cs="Arial" w:eastAsia="Arial" w:hAnsi="Arial"/>
          <w:b/>
          <w:bCs/>
          <w:color w:val="534AB7"/>
          <w:sz w:val="23"/>
          <w:szCs w:val="23"/>
        </w:rPr>
        <w:t xml:space="preserve">When they say it's expensive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c>
          <w:tcPr>
            <w:tcW w:type="dxa" w:w="36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They say</w:t>
            </w:r>
          </w:p>
        </w:tc>
        <w:tc>
          <w:tcPr>
            <w:tcW w:type="dxa" w:w="59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You say</w:t>
            </w:r>
          </w:p>
        </w:tc>
      </w:tr>
      <w:tr>
        <w:tc>
          <w:tcPr>
            <w:tcW w:type="dxa" w:w="3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"We can't justify $8,000."</w:t>
            </w:r>
          </w:p>
        </w:tc>
        <w:tc>
          <w:tcPr>
            <w:tcW w:type="dxa" w:w="5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average lease commitment is $300,000 over 3 years. Getting the suburb wrong costs far more. This is 2–3% of one year's revenue to derisk a 3-year decision."</w:t>
            </w:r>
          </w:p>
        </w:tc>
      </w:tr>
      <w:tr>
        <w:tc>
          <w:tcPr>
            <w:tcW w:type="dxa" w:w="3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"Can you do it cheaper?"</w:t>
            </w:r>
          </w:p>
        </w:tc>
        <w:tc>
          <w:tcPr>
            <w:tcW w:type="dxa" w:w="5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$5,000 core package is the starting point — one state, top 5 suburbs. Most clients start there and come back for the full analysis once they see the output."</w:t>
            </w:r>
          </w:p>
        </w:tc>
      </w:tr>
      <w:tr>
        <w:tc>
          <w:tcPr>
            <w:tcW w:type="dxa" w:w="3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"We have an internal team for this."</w:t>
            </w:r>
          </w:p>
        </w:tc>
        <w:tc>
          <w:tcPr>
            <w:tcW w:type="dxa" w:w="59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"We complement internal teams well. We handle the ABS data infrastructure most teams don't have time to build. Turnaround is 5–7 days rather than weeks of internal resource."</w:t>
            </w:r>
          </w:p>
        </w:tc>
      </w:tr>
      <w:tr>
        <w:tc>
          <w:tcPr>
            <w:tcW w:type="dxa" w:w="3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"Why not just use a property agent?"</w:t>
            </w:r>
          </w:p>
        </w:tc>
        <w:tc>
          <w:tcPr>
            <w:tcW w:type="dxa" w:w="59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 property agent knows the deal. We know where the demand is. They answer a different question — Lokko tells you which suburb to go into before you talk to agents."</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3. Who to talk to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6"/>
      </w:tblGrid>
      <w:tr>
        <w:tc>
          <w:tcPr>
            <w:tcW w:type="dxa" w:w="23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Industry</w:t>
            </w:r>
          </w:p>
        </w:tc>
        <w:tc>
          <w:tcPr>
            <w:tcW w:type="dxa" w:w="36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Why Lokko fits</w:t>
            </w:r>
          </w:p>
        </w:tc>
        <w:tc>
          <w:tcPr>
            <w:tcW w:type="dxa" w:w="36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LinkedIn title to find</w:t>
            </w:r>
          </w:p>
        </w:tc>
      </w:tr>
      <w:tr>
        <w:tc>
          <w:tcPr>
            <w:tcW w:type="dxa" w:w="23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QSR franchise
(Roll'd, Zambrero, Grill'd)</w:t>
            </w:r>
          </w:p>
        </w:tc>
        <w:tc>
          <w:tcPr>
            <w:tcW w:type="dxa" w:w="3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Whitespace + peak hours = exact brief they give property consultants</w:t>
            </w:r>
          </w:p>
        </w:tc>
        <w:tc>
          <w:tcPr>
            <w:tcW w:type="dxa" w:w="36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534AB7"/>
                <w:sz w:val="18"/>
                <w:szCs w:val="18"/>
              </w:rPr>
              <w:t xml:space="preserve">Head of Property · Expansion Manager · Real Estate Director</w:t>
            </w:r>
          </w:p>
        </w:tc>
      </w:tr>
      <w:tr>
        <w:tc>
          <w:tcPr>
            <w:tcW w:type="dxa" w:w="23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Education &amp; tutoring
(Kumon, music schools)</w:t>
            </w:r>
          </w:p>
        </w:tc>
        <w:tc>
          <w:tcPr>
            <w:tcW w:type="dxa" w:w="3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Family demographics + income = where their students live</w:t>
            </w:r>
          </w:p>
        </w:tc>
        <w:tc>
          <w:tcPr>
            <w:tcW w:type="dxa" w:w="36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534AB7"/>
                <w:sz w:val="18"/>
                <w:szCs w:val="18"/>
              </w:rPr>
              <w:t xml:space="preserve">National Franchising Manager · Head of Growth · Founder</w:t>
            </w:r>
          </w:p>
        </w:tc>
      </w:tr>
      <w:tr>
        <w:tc>
          <w:tcPr>
            <w:tcW w:type="dxa" w:w="23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Fitness &amp; wellness
(F45, pilates, gym)</w:t>
            </w:r>
          </w:p>
        </w:tc>
        <w:tc>
          <w:tcPr>
            <w:tcW w:type="dxa" w:w="36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Income bracket + density = studio viability</w:t>
            </w:r>
          </w:p>
        </w:tc>
        <w:tc>
          <w:tcPr>
            <w:tcW w:type="dxa" w:w="36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534AB7"/>
                <w:sz w:val="18"/>
                <w:szCs w:val="18"/>
              </w:rPr>
              <w:t xml:space="preserve">Head of Franchise Dev · Operations Director</w:t>
            </w:r>
          </w:p>
        </w:tc>
      </w:tr>
      <w:tr>
        <w:tc>
          <w:tcPr>
            <w:tcW w:type="dxa" w:w="23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Specialty retail
(kids, health, homewares)</w:t>
            </w:r>
          </w:p>
        </w:tc>
        <w:tc>
          <w:tcPr>
            <w:tcW w:type="dxa" w:w="36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Spending profile + competitor mapping = avoid saturated areas</w:t>
            </w:r>
          </w:p>
        </w:tc>
        <w:tc>
          <w:tcPr>
            <w:tcW w:type="dxa" w:w="36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534AB7"/>
                <w:sz w:val="18"/>
                <w:szCs w:val="18"/>
              </w:rPr>
              <w:t xml:space="preserve">Retail Expansion Manager · COO · Founder</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4. Show them the dashboard</w:t>
      </w:r>
    </w:p>
    <w:p>
      <w:pPr>
        <w:spacing w:after="100" w:before="80"/>
      </w:pPr>
      <w:r>
        <w:rPr>
          <w:rFonts w:ascii="Arial" w:cs="Arial" w:eastAsia="Arial" w:hAnsi="Arial"/>
          <w:b w:val="false"/>
          <w:bCs w:val="false"/>
          <w:i w:val="false"/>
          <w:iCs w:val="false"/>
          <w:color w:val="1A1730"/>
          <w:sz w:val="20"/>
          <w:szCs w:val="20"/>
        </w:rPr>
        <w:t xml:space="preserve">Open your laptop and show the HTML file Sandra gave you (lokko_client_dashboard_v2.html in Chrome). The new version includes peak trading hours for each suburb.</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c>
          <w:tcPr>
            <w:tcW w:type="dxa" w:w="130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534AB7"/>
                <w:sz w:val="17"/>
                <w:szCs w:val="17"/>
              </w:rPr>
              <w:t xml:space="preserve">IMPORTANT</w:t>
            </w:r>
          </w:p>
        </w:tc>
        <w:tc>
          <w:tcPr>
            <w:tcW w:type="dxa" w:w="8206"/>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9"/>
                <w:szCs w:val="19"/>
              </w:rPr>
              <w:t xml:space="preserve">Ask Sandra to send you lokko_client_dashboard_v2.html — open in Chrome. The peak trading hours panel is new and very impressive to show.</w:t>
            </w:r>
          </w:p>
        </w:tc>
      </w:tr>
    </w:tbl>
    <w:p>
      <w:pPr>
        <w:spacing w:after="0" w:before="100"/>
      </w:pPr>
      <w:r>
        <w:t xml:space="preserve"/>
      </w:r>
    </w:p>
    <w:p>
      <w:pPr>
        <w:pStyle w:val="Heading2"/>
        <w:spacing w:after="100" w:before="220"/>
      </w:pPr>
      <w:r>
        <w:rPr>
          <w:rFonts w:ascii="Arial" w:cs="Arial" w:eastAsia="Arial" w:hAnsi="Arial"/>
          <w:b/>
          <w:bCs/>
          <w:color w:val="26215C"/>
          <w:sz w:val="27"/>
          <w:szCs w:val="27"/>
        </w:rPr>
        <w:t xml:space="preserve">What to say while showing it</w:t>
      </w:r>
    </w:p>
    <w:p>
      <w:pPr>
        <w:pStyle w:val="ListParagraph"/>
        <w:numPr>
          <w:ilvl w:val="0"/>
          <w:numId w:val="2"/>
        </w:numPr>
        <w:spacing w:after="60" w:before="60"/>
      </w:pPr>
      <w:r>
        <w:rPr>
          <w:rFonts w:ascii="Arial" w:cs="Arial" w:eastAsia="Arial" w:hAnsi="Arial"/>
          <w:color w:val="1A1730"/>
          <w:sz w:val="20"/>
          <w:szCs w:val="20"/>
        </w:rPr>
        <w:t xml:space="preserve">“This is a sample report for a fictitious brand — the data and methodology are exactly what a real client gets.”</w:t>
      </w:r>
    </w:p>
    <w:p>
      <w:pPr>
        <w:pStyle w:val="ListParagraph"/>
        <w:numPr>
          <w:ilvl w:val="0"/>
          <w:numId w:val="2"/>
        </w:numPr>
        <w:spacing w:after="60" w:before="60"/>
      </w:pPr>
      <w:r>
        <w:rPr>
          <w:rFonts w:ascii="Arial" w:cs="Arial" w:eastAsia="Arial" w:hAnsi="Arial"/>
          <w:color w:val="1A1730"/>
          <w:sz w:val="20"/>
          <w:szCs w:val="20"/>
        </w:rPr>
        <w:t xml:space="preserve">“Left sidebar: all 40 Melbourne suburbs ranked by score. Click any suburb to fly the map there and see the full breakdown.”</w:t>
      </w:r>
    </w:p>
    <w:p>
      <w:pPr>
        <w:pStyle w:val="ListParagraph"/>
        <w:numPr>
          <w:ilvl w:val="0"/>
          <w:numId w:val="2"/>
        </w:numPr>
        <w:spacing w:after="60" w:before="60"/>
      </w:pPr>
      <w:r>
        <w:rPr>
          <w:rFonts w:ascii="Arial" w:cs="Arial" w:eastAsia="Arial" w:hAnsi="Arial"/>
          <w:color w:val="1A1730"/>
          <w:sz w:val="20"/>
          <w:szCs w:val="20"/>
        </w:rPr>
        <w:t xml:space="preserve">“The popup shows population, income, nearest competitor distance, and estimated annual revenue.”</w:t>
      </w:r>
    </w:p>
    <w:p>
      <w:pPr>
        <w:pStyle w:val="ListParagraph"/>
        <w:numPr>
          <w:ilvl w:val="0"/>
          <w:numId w:val="2"/>
        </w:numPr>
        <w:spacing w:after="60" w:before="60"/>
      </w:pPr>
      <w:r>
        <w:rPr>
          <w:rFonts w:ascii="Arial" w:cs="Arial" w:eastAsia="Arial" w:hAnsi="Arial"/>
          <w:color w:val="1A1730"/>
          <w:sz w:val="20"/>
          <w:szCs w:val="20"/>
        </w:rPr>
        <w:t xml:space="preserve">“Look at the Friday peak hours bars. This shows when the suburb is busiest — hour by hour. Narre Warren peaks at 6pm on Fridays. That tells you when to be open and how to staff.”</w:t>
      </w:r>
    </w:p>
    <w:p>
      <w:pPr>
        <w:pStyle w:val="ListParagraph"/>
        <w:numPr>
          <w:ilvl w:val="0"/>
          <w:numId w:val="2"/>
        </w:numPr>
        <w:spacing w:after="60" w:before="60"/>
      </w:pPr>
      <w:r>
        <w:rPr>
          <w:rFonts w:ascii="Arial" w:cs="Arial" w:eastAsia="Arial" w:hAnsi="Arial"/>
          <w:color w:val="1A1730"/>
          <w:sz w:val="20"/>
          <w:szCs w:val="20"/>
        </w:rPr>
        <w:t xml:space="preserve">“The amber squares are existing stores with 3km rings. Anywhere outside those rings is genuine whitespace.”</w:t>
      </w:r>
    </w:p>
    <w:p>
      <w:pPr>
        <w:pStyle w:val="ListParagraph"/>
        <w:numPr>
          <w:ilvl w:val="0"/>
          <w:numId w:val="2"/>
        </w:numPr>
        <w:spacing w:after="60" w:before="60"/>
      </w:pPr>
      <w:r>
        <w:rPr>
          <w:rFonts w:ascii="Arial" w:cs="Arial" w:eastAsia="Arial" w:hAnsi="Arial"/>
          <w:color w:val="1A1730"/>
          <w:sz w:val="20"/>
          <w:szCs w:val="20"/>
        </w:rPr>
        <w:t xml:space="preserve">“The client gets this as an HTML file to share with their whole property team. No software needed.”</w:t>
      </w:r>
    </w:p>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5. Other objections</w:t>
      </w:r>
    </w:p>
    <w:p>
      <w:pPr>
        <w:pStyle w:val="Heading3"/>
        <w:spacing w:after="80" w:before="180"/>
      </w:pPr>
      <w:r>
        <w:rPr>
          <w:rFonts w:ascii="Arial" w:cs="Arial" w:eastAsia="Arial" w:hAnsi="Arial"/>
          <w:b/>
          <w:bCs/>
          <w:color w:val="534AB7"/>
          <w:sz w:val="23"/>
          <w:szCs w:val="23"/>
        </w:rPr>
        <w:t xml:space="preserve">“We already know which area we want.”</w:t>
      </w:r>
    </w:p>
    <w:p>
      <w:pPr>
        <w:spacing w:after="100" w:before="80"/>
      </w:pPr>
      <w:r>
        <w:rPr>
          <w:rFonts w:ascii="Arial" w:cs="Arial" w:eastAsia="Arial" w:hAnsi="Arial"/>
          <w:b w:val="false"/>
          <w:bCs w:val="false"/>
          <w:i w:val="false"/>
          <w:iCs w:val="false"/>
          <w:color w:val="1A1730"/>
          <w:sz w:val="20"/>
          <w:szCs w:val="20"/>
        </w:rPr>
        <w:t xml:space="preserve">“Great — the analysis will either confirm that and give you confidence, or show you something that scores even higher. Either way it's a more informed decision. The free audit takes 5 days and costs nothing.”</w:t>
      </w:r>
    </w:p>
    <w:p>
      <w:pPr>
        <w:pStyle w:val="Heading3"/>
        <w:spacing w:after="80" w:before="180"/>
      </w:pPr>
      <w:r>
        <w:rPr>
          <w:rFonts w:ascii="Arial" w:cs="Arial" w:eastAsia="Arial" w:hAnsi="Arial"/>
          <w:b/>
          <w:bCs/>
          <w:color w:val="534AB7"/>
          <w:sz w:val="23"/>
          <w:szCs w:val="23"/>
        </w:rPr>
        <w:t xml:space="preserve">“We’re not expanding right now.”</w:t>
      </w:r>
    </w:p>
    <w:p>
      <w:pPr>
        <w:spacing w:after="100" w:before="80"/>
      </w:pPr>
      <w:r>
        <w:rPr>
          <w:rFonts w:ascii="Arial" w:cs="Arial" w:eastAsia="Arial" w:hAnsi="Arial"/>
          <w:b w:val="false"/>
          <w:bCs w:val="false"/>
          <w:i w:val="false"/>
          <w:iCs w:val="false"/>
          <w:color w:val="1A1730"/>
          <w:sz w:val="20"/>
          <w:szCs w:val="20"/>
        </w:rPr>
        <w:t xml:space="preserve">“Understood. When you are, the data will already be done. The free audit is useful to have on file for when the timing is right.”</w:t>
      </w:r>
    </w:p>
    <w:p>
      <w:pPr>
        <w:pStyle w:val="Heading3"/>
        <w:spacing w:after="80" w:before="180"/>
      </w:pPr>
      <w:r>
        <w:rPr>
          <w:rFonts w:ascii="Arial" w:cs="Arial" w:eastAsia="Arial" w:hAnsi="Arial"/>
          <w:b/>
          <w:bCs/>
          <w:color w:val="534AB7"/>
          <w:sz w:val="23"/>
          <w:szCs w:val="23"/>
        </w:rPr>
        <w:t xml:space="preserve">“How is this different from Googling it?”</w:t>
      </w:r>
    </w:p>
    <w:p>
      <w:pPr>
        <w:spacing w:after="100" w:before="80"/>
      </w:pPr>
      <w:r>
        <w:rPr>
          <w:rFonts w:ascii="Arial" w:cs="Arial" w:eastAsia="Arial" w:hAnsi="Arial"/>
          <w:b w:val="false"/>
          <w:bCs w:val="false"/>
          <w:i w:val="false"/>
          <w:iCs w:val="false"/>
          <w:color w:val="1A1730"/>
          <w:sz w:val="20"/>
          <w:szCs w:val="20"/>
        </w:rPr>
        <w:t xml:space="preserve">“Google gives you an impression. We give you a suburb-by-suburb score based on the actual national census — income, demographics, competitors, peak activity hours. You can’t get that from Google Maps.”</w:t>
      </w:r>
    </w:p>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6. How to close</w:t>
      </w:r>
    </w:p>
    <w:p>
      <w:pPr>
        <w:spacing w:after="100" w:before="80"/>
      </w:pPr>
      <w:r>
        <w:rPr>
          <w:rFonts w:ascii="Arial" w:cs="Arial" w:eastAsia="Arial" w:hAnsi="Arial"/>
          <w:b w:val="false"/>
          <w:bCs w:val="false"/>
          <w:i w:val="false"/>
          <w:iCs w:val="false"/>
          <w:color w:val="1A1730"/>
          <w:sz w:val="20"/>
          <w:szCs w:val="20"/>
        </w:rPr>
        <w:t xml:space="preserve">Get them to agree to the free audit. That’s all. Once Sandra delivers the audit, the work sells itself.</w:t>
      </w:r>
    </w:p>
    <w:p>
      <w:pPr>
        <w:spacing w:after="0"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D9E75" w:sz="8"/>
              <w:left w:val="none" w:color="FFFFFF" w:sz="0"/>
              <w:bottom w:val="none" w:color="FFFFFF" w:sz="0"/>
              <w:right w:val="none" w:color="FFFFFF" w:sz="0"/>
            </w:tcBorders>
            <w:shd w:fill="E1F5EE" w:val="clear"/>
            <w:tcMar>
              <w:top w:type="dxa" w:w="200"/>
              <w:left w:type="dxa" w:w="280"/>
              <w:bottom w:type="dxa" w:w="200"/>
              <w:right w:type="dxa" w:w="280"/>
            </w:tcMar>
          </w:tcPr>
          <w:p>
            <w:pPr>
              <w:spacing w:after="60" w:before="80"/>
            </w:pPr>
            <w:r>
              <w:rPr>
                <w:rFonts w:ascii="Arial" w:cs="Arial" w:eastAsia="Arial" w:hAnsi="Arial"/>
                <w:b/>
                <w:bCs/>
                <w:i w:val="false"/>
                <w:iCs w:val="false"/>
                <w:color w:val="1D9E75"/>
                <w:sz w:val="22"/>
                <w:szCs w:val="22"/>
              </w:rPr>
              <w:t xml:space="preserve">The ask:</w:t>
            </w:r>
          </w:p>
          <w:p>
            <w:pPr>
              <w:spacing w:after="0" w:before="0"/>
              <w:jc w:val="center"/>
            </w:pPr>
            <w:r>
              <w:rPr>
                <w:rFonts w:ascii="Arial" w:cs="Arial" w:eastAsia="Arial" w:hAnsi="Arial"/>
                <w:b/>
                <w:bCs/>
                <w:i/>
                <w:iCs/>
                <w:color w:val="26215C"/>
                <w:sz w:val="23"/>
                <w:szCs w:val="23"/>
              </w:rPr>
              <w:t xml:space="preserve">“Can I get your business email? Sandra will reach out and have your free audit to you within 5 days. No call required, no obligation.”</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7. Quick-reference cheat sheet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Question</w:t>
            </w:r>
          </w:p>
        </w:tc>
        <w:tc>
          <w:tcPr>
            <w:tcW w:type="dxa" w:w="6506"/>
            <w:tcBorders>
              <w:top w:val="single" w:color="D3D1C7" w:sz="1"/>
              <w:left w:val="single" w:color="D3D1C7" w:sz="1"/>
              <w:bottom w:val="single" w:color="D3D1C7" w:sz="1"/>
              <w:right w:val="single" w:color="D3D1C7" w:sz="1"/>
            </w:tcBorders>
            <w:shd w:fill="26215C"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Answer</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What does Lokko do?</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Tells businesses exactly where to open next, using ABS census data and competitor mapping.</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Who is it for?</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Franchises, QSR, tutoring centres, gyms, retailers — anyone considering a new location.</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Free audit — what do they get?</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Top 3 suburb recommendations. One-page PDF. 5 business days. No obligation.</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Full report — price?</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$5,000 core · $8,000–$10,000 standard · $12,000–$15,000 national.</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Why that price?</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Derisk a $300k+ lease. 2–3% of one year's revenue to get the location right.</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How do they sign up?</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lokko.au — form on the home page. Or give email to Sandra directly.</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Who is Sandra?</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The founder. Data analytics + location intelligence. Melbourne-based.</w:t>
            </w:r>
          </w:p>
        </w:tc>
      </w:tr>
      <w:tr>
        <w:tc>
          <w:tcPr>
            <w:tcW w:type="dxa" w:w="30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Is the data reliable?</w:t>
            </w:r>
          </w:p>
        </w:tc>
        <w:tc>
          <w:tcPr>
            <w:tcW w:type="dxa" w:w="6506"/>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ABS national census + Google Places + Google Popular Times. Same sources as government.</w:t>
            </w:r>
          </w:p>
        </w:tc>
      </w:tr>
      <w:tr>
        <w:tc>
          <w:tcPr>
            <w:tcW w:type="dxa" w:w="3000"/>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6215C"/>
                <w:sz w:val="18"/>
                <w:szCs w:val="18"/>
              </w:rPr>
              <w:t xml:space="preserve">Other states?</w:t>
            </w:r>
          </w:p>
        </w:tc>
        <w:tc>
          <w:tcPr>
            <w:tcW w:type="dxa" w:w="6506"/>
            <w:tcBorders>
              <w:top w:val="single" w:color="D3D1C7" w:sz="1"/>
              <w:left w:val="single" w:color="D3D1C7" w:sz="1"/>
              <w:bottom w:val="single" w:color="D3D1C7" w:sz="1"/>
              <w:right w:val="single" w:color="D3D1C7" w:sz="1"/>
            </w:tcBorders>
            <w:shd w:fill="F7F6FE"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730"/>
                <w:sz w:val="18"/>
                <w:szCs w:val="18"/>
              </w:rPr>
              <w:t xml:space="preserve">Yes — any Australian state. Same pipeline, same methodology.</w:t>
            </w:r>
          </w:p>
        </w:tc>
      </w:tr>
    </w:tbl>
    <w:p>
      <w:pPr>
        <w:spacing w:after="0" w:before="200"/>
      </w:pPr>
      <w:r>
        <w:t xml:space="preserve"/>
      </w:r>
    </w:p>
    <w:p>
      <w:pPr>
        <w:pStyle w:val="Heading1"/>
        <w:pBdr>
          <w:bottom w:val="single" w:color="26215C" w:sz="6" w:space="4"/>
        </w:pBdr>
        <w:spacing w:after="140" w:before="280"/>
      </w:pPr>
      <w:r>
        <w:rPr>
          <w:rFonts w:ascii="Arial" w:cs="Arial" w:eastAsia="Arial" w:hAnsi="Arial"/>
          <w:b/>
          <w:bCs/>
          <w:color w:val="26215C"/>
          <w:sz w:val="36"/>
          <w:szCs w:val="36"/>
        </w:rPr>
        <w:t xml:space="preserve">8. Hand over to Sandra</w:t>
      </w:r>
    </w:p>
    <w:p>
      <w:pPr>
        <w:spacing w:after="100" w:before="80"/>
      </w:pPr>
      <w:r>
        <w:rPr>
          <w:rFonts w:ascii="Arial" w:cs="Arial" w:eastAsia="Arial" w:hAnsi="Arial"/>
          <w:b w:val="false"/>
          <w:bCs w:val="false"/>
          <w:i w:val="false"/>
          <w:iCs w:val="false"/>
          <w:color w:val="1A1730"/>
          <w:sz w:val="20"/>
          <w:szCs w:val="20"/>
        </w:rPr>
        <w:t xml:space="preserve">Your job ends when they say yes to the free audit. Get the email and pass it to Sandra.</w:t>
      </w:r>
    </w:p>
    <w:p>
      <w:pPr>
        <w:spacing w:after="0" w:before="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6215C" w:sz="8"/>
              <w:left w:val="none" w:color="FFFFFF" w:sz="0"/>
              <w:bottom w:val="none" w:color="FFFFFF" w:sz="0"/>
              <w:right w:val="none" w:color="FFFFFF" w:sz="0"/>
            </w:tcBorders>
            <w:shd w:fill="F7F6FE" w:val="clear"/>
            <w:tcMar>
              <w:top w:type="dxa" w:w="200"/>
              <w:left w:type="dxa" w:w="280"/>
              <w:bottom w:type="dxa" w:w="200"/>
              <w:right w:type="dxa" w:w="280"/>
            </w:tcMar>
          </w:tcPr>
          <w:p>
            <w:pPr>
              <w:spacing w:after="80" w:before="0"/>
            </w:pPr>
            <w:r>
              <w:rPr>
                <w:rFonts w:ascii="Arial" w:cs="Arial" w:eastAsia="Arial" w:hAnsi="Arial"/>
                <w:b/>
                <w:bCs/>
                <w:color w:val="26215C"/>
                <w:sz w:val="26"/>
                <w:szCs w:val="26"/>
              </w:rPr>
              <w:t xml:space="preserve">lok</w:t>
            </w:r>
            <w:r>
              <w:rPr>
                <w:rFonts w:ascii="Arial" w:cs="Arial" w:eastAsia="Arial" w:hAnsi="Arial"/>
                <w:b/>
                <w:bCs/>
                <w:color w:val="534AB7"/>
                <w:sz w:val="26"/>
                <w:szCs w:val="26"/>
              </w:rPr>
              <w:t xml:space="preserve">ko</w:t>
            </w:r>
            <w:r>
              <w:rPr>
                <w:rFonts w:ascii="Arial" w:cs="Arial" w:eastAsia="Arial" w:hAnsi="Arial"/>
                <w:b/>
                <w:bCs/>
                <w:color w:val="26215C"/>
                <w:sz w:val="24"/>
                <w:szCs w:val="24"/>
              </w:rPr>
              <w:t xml:space="preserve">  ·  Sandra Zuluaga</w:t>
            </w:r>
          </w:p>
          <w:p>
            <w:pPr>
              <w:spacing w:after="40" w:before="80"/>
            </w:pPr>
            <w:r>
              <w:rPr>
                <w:rFonts w:ascii="Arial" w:cs="Arial" w:eastAsia="Arial" w:hAnsi="Arial"/>
                <w:b w:val="false"/>
                <w:bCs w:val="false"/>
                <w:i w:val="false"/>
                <w:iCs w:val="false"/>
                <w:color w:val="534AB7"/>
                <w:sz w:val="20"/>
                <w:szCs w:val="20"/>
              </w:rPr>
              <w:t xml:space="preserve">hello@lokko.au</w:t>
            </w:r>
          </w:p>
          <w:p>
            <w:pPr>
              <w:spacing w:after="100" w:before="80"/>
            </w:pPr>
            <w:r>
              <w:rPr>
                <w:rFonts w:ascii="Arial" w:cs="Arial" w:eastAsia="Arial" w:hAnsi="Arial"/>
                <w:b w:val="false"/>
                <w:bCs w:val="false"/>
                <w:i w:val="false"/>
                <w:iCs w:val="false"/>
                <w:color w:val="534AB7"/>
                <w:sz w:val="20"/>
                <w:szCs w:val="20"/>
              </w:rPr>
              <w:t xml:space="preserve">lokko.au</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6215C"/>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6215C"/>
      <w:sz w:val="27"/>
      <w:szCs w:val="27"/>
    </w:rPr>
  </w:style>
  <w:style w:type="paragraph" w:styleId="Heading3">
    <w:name w:val="Heading 3"/>
    <w:basedOn w:val="Normal"/>
    <w:next w:val="Normal"/>
    <w:qFormat/>
    <w:pPr>
      <w:spacing w:after="80" w:before="180"/>
      <w:outlineLvl w:val="2"/>
    </w:pPr>
    <w:rPr>
      <w:rFonts w:ascii="Arial" w:cs="Arial" w:eastAsia="Arial" w:hAnsi="Arial"/>
      <w:b/>
      <w:bCs/>
      <w:color w:val="534AB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2026-04-16T09:06:52.746Z</dcterms:created>
  <dcterms:modified xsi:type="dcterms:W3CDTF">2026-04-16T09:06:52.747Z</dcterms:modified>
</cp:coreProperties>
</file>

<file path=docProps/custom.xml><?xml version="1.0" encoding="utf-8"?>
<Properties xmlns="http://schemas.openxmlformats.org/officeDocument/2006/custom-properties" xmlns:vt="http://schemas.openxmlformats.org/officeDocument/2006/docPropsVTypes"/>
</file>