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arte-prima-fondamenti"/>
    <w:p>
      <w:pPr>
        <w:pStyle w:val="Heading1"/>
      </w:pPr>
      <w:r>
        <w:t xml:space="preserve">PARTE PRIMA — FONDAMENTI</w:t>
      </w:r>
    </w:p>
    <w:bookmarkStart w:id="21" w:name="capitolo-1-introduzione"/>
    <w:p>
      <w:pPr>
        <w:pStyle w:val="Heading2"/>
      </w:pPr>
      <w:r>
        <w:t xml:space="preserve">Capitolo 1 — Introduzione</w:t>
      </w:r>
    </w:p>
    <w:bookmarkStart w:id="20" w:name="contesto"/>
    <w:p>
      <w:pPr>
        <w:pStyle w:val="Heading3"/>
      </w:pPr>
      <w:r>
        <w:t xml:space="preserve">1.1 Contesto</w:t>
      </w:r>
    </w:p>
    <w:p>
      <w:pPr>
        <w:pStyle w:val="FirstParagraph"/>
      </w:pPr>
      <w:r>
        <w:t xml:space="preserve">Questo è un paragrafo di prosa introduttiva con accenti à è ì ò ù e un em-dash —.</w:t>
      </w:r>
    </w:p>
    <w:p>
      <w:pPr>
        <w:numPr>
          <w:ilvl w:val="0"/>
          <w:numId w:val="1001"/>
        </w:numPr>
        <w:pStyle w:val="Compact"/>
      </w:pPr>
      <w:r>
        <w:t xml:space="preserve">primo punto</w:t>
      </w:r>
    </w:p>
    <w:p>
      <w:pPr>
        <w:numPr>
          <w:ilvl w:val="0"/>
          <w:numId w:val="1001"/>
        </w:numPr>
        <w:pStyle w:val="Compact"/>
      </w:pPr>
      <w:r>
        <w:t xml:space="preserve">secondo punto</w:t>
      </w:r>
    </w:p>
    <w:p>
      <w:pPr>
        <w:numPr>
          <w:ilvl w:val="0"/>
          <w:numId w:val="1002"/>
        </w:numPr>
        <w:pStyle w:val="Compact"/>
      </w:pPr>
      <w:r>
        <w:t xml:space="preserve">passo uno</w:t>
      </w:r>
    </w:p>
    <w:p>
      <w:pPr>
        <w:numPr>
          <w:ilvl w:val="0"/>
          <w:numId w:val="1002"/>
        </w:numPr>
        <w:pStyle w:val="Compact"/>
      </w:pPr>
      <w:r>
        <w:t xml:space="preserve">passo due</w:t>
      </w:r>
    </w:p>
    <w:p>
      <w:pPr>
        <w:numPr>
          <w:ilvl w:val="0"/>
          <w:numId w:val="1002"/>
        </w:numPr>
        <w:pStyle w:val="Compact"/>
      </w:pPr>
      <w:r>
        <w:t xml:space="preserve">passo tre</w:t>
      </w:r>
    </w:p>
    <w:p>
      <w:pPr>
        <w:pStyle w:val="BlockText"/>
      </w:pPr>
      <w:r>
        <w:t xml:space="preserve">Questo è un riquadro di approfondimento da rendere come BOX.</w:t>
      </w:r>
    </w:p>
    <w:p>
      <w:pPr>
        <w:pStyle w:val="FirstParagraph"/>
      </w:pPr>
      <w:r>
        <w:t xml:space="preserve">Esempio: questo apre con la parola Esempio e deve diventare EX.</w:t>
      </w:r>
    </w:p>
    <w:p>
      <w:pPr>
        <w:pStyle w:val="BodyText"/>
      </w:pPr>
      <w:r>
        <w:t xml:space="preserve">Esercizio: prova a rifare il procedimento, deve diventare ESE.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2026-06-11T20:59:57Z</dcterms:created>
  <dcterms:modified xsi:type="dcterms:W3CDTF">2026-06-11T20:59:57Z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