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C5F2E"/>
          <w:sz w:val="40"/>
          <w:szCs w:val="40"/>
        </w:rPr>
        <w:t xml:space="preserve">Mentions Légales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audeladeskilos.com — Mise à jour le 15/04/2026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Éditeur du site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Raison sociale : Au-delà des kilos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Forme juridique : Entreprise Individuelle (EI)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Exploitant : Bartoli Sandrine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Adresse : 29 avenue de la Croix Blanche, 33670 Créon, France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Email : sandrine@audeladeskilos.com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SIRET : 99284939800019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Non soumis à la TVA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Directrice de la publication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Sandrine Bartoli, en qualité d'exploitante de l'entreprise individuelle Au-delà des kilos.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Hébergement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Le site audeladeskilos.com est hébergé par :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Cloudflare, Inc.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101 Townsend St, San Francisco, CA 94107, États-Unis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Site web : www.cloudflare.com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Propriété intellectuelle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L'ensemble des contenus présents sur le site audeladeskilos.com (textes, images, graphismes, logo, vidéos, sons) est la propriété exclusive de Sandrine Bartoli / Au-delà des kilos, sauf mentions contraires.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Toute reproduction, représentation, modification, publication ou adaptation de tout ou partie des éléments du site, quel que soit le moyen ou le procédé utilisé, est interdite sans autorisation écrite préalable.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Protection des données personnelles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Les informations recueillies sur ce site font l'objet d'un traitement informatique destiné à la gestion de la relation client et à la fourniture des prestations d'hypnothérapie.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Conformément au Règlement Général sur la Protection des Données (RGPD) et à la loi Informatique et Libertés, vous disposez d'un droit d'accès, de rectification, de suppression et de portabilité de vos données personnelles.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Pour exercer ces droits, contactez : sandrine@audeladeskilos.com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Cookies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Le site audeladeskilos.com peut utiliser des cookies techniques nécessaires à son bon fonctionnement. Aucun cookie publicitaire ou de traçage à des fins commerciales n'est utilisé sans votre consentement.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Liens hypertextes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Le site peut contenir des liens vers des sites tiers. Au-delà des kilos n'exerce aucun contrôle sur ces sites et décline toute responsabilité quant à leur contenu.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Droit applicable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Les présentes mentions légales sont soumises au droit français. En cas de litige, les tribunaux français seront seuls compétents.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Arial" w:cs="Arial" w:eastAsia="Arial" w:hAnsi="Arial"/>
      <w:b/>
      <w:bCs/>
      <w:color w:val="2C5F2E"/>
      <w:sz w:val="28"/>
      <w:szCs w:val="28"/>
    </w:rPr>
  </w:style>
  <w:style w:type="paragraph" w:styleId="Heading2">
    <w:name w:val="Heading 2"/>
    <w:basedOn w:val="Normal"/>
    <w:next w:val="Normal"/>
    <w:pPr>
      <w:spacing w:after="160" w:before="300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2026-04-15T16:31:05.685Z</dcterms:created>
  <dcterms:modified xsi:type="dcterms:W3CDTF">2026-04-15T16:31:05.685Z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