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spacing w:after="100" w:before="0"/>
              <w:jc w:val="center"/>
            </w:pPr>
            <w:r>
              <w:rPr>
                <w:rFonts w:ascii="Arial" w:cs="Arial" w:eastAsia="Arial" w:hAnsi="Arial"/>
                <w:color w:val="AABBDD"/>
                <w:sz w:val="22"/>
                <w:szCs w:val="22"/>
              </w:rPr>
              <w:t xml:space="preserve">Dossier écrit de soutenance</w:t>
            </w:r>
          </w:p>
          <w:p>
            <w:pPr>
              <w:spacing w:after="60" w:before="0"/>
              <w:jc w:val="center"/>
            </w:pPr>
            <w:r>
              <w:rPr>
                <w:rFonts w:ascii="Arial" w:cs="Arial" w:eastAsia="Arial" w:hAnsi="Arial"/>
                <w:b/>
                <w:bCs/>
                <w:color w:val="FFFFFF"/>
                <w:sz w:val="48"/>
                <w:szCs w:val="48"/>
              </w:rPr>
              <w:t xml:space="preserve">PlayOff Amateurs</w:t>
            </w:r>
          </w:p>
          <w:p>
            <w:pPr>
              <w:spacing w:after="200" w:before="0"/>
              <w:jc w:val="center"/>
            </w:pPr>
            <w:r>
              <w:rPr>
                <w:rFonts w:ascii="Arial" w:cs="Arial" w:eastAsia="Arial" w:hAnsi="Arial"/>
                <w:b/>
                <w:bCs/>
                <w:color w:val="E8511A"/>
                <w:sz w:val="52"/>
                <w:szCs w:val="52"/>
              </w:rPr>
              <w:t xml:space="preserve">WePlay</w:t>
            </w:r>
          </w:p>
          <w:p>
            <w:pPr>
              <w:spacing w:after="80" w:before="0"/>
              <w:jc w:val="center"/>
            </w:pPr>
            <w:r>
              <w:rPr>
                <w:rFonts w:ascii="Arial" w:cs="Arial" w:eastAsia="Arial" w:hAnsi="Arial"/>
                <w:color w:val="AABBDD"/>
                <w:sz w:val="20"/>
                <w:szCs w:val="20"/>
              </w:rPr>
              <w:t xml:space="preserve">Bootcamp Product Builder No-Code — RNCP 39108 — École Cube</w:t>
            </w:r>
          </w:p>
          <w:p>
            <w:pPr>
              <w:spacing w:after="0" w:before="0"/>
              <w:jc w:val="center"/>
            </w:pPr>
            <w:r>
              <w:rPr>
                <w:rFonts w:ascii="Arial" w:cs="Arial" w:eastAsia="Arial" w:hAnsi="Arial"/>
                <w:i/>
                <w:iCs/>
                <w:color w:val="CCDDEE"/>
                <w:sz w:val="19"/>
                <w:szCs w:val="19"/>
              </w:rPr>
              <w:t xml:space="preserve">Sandrine Darrieu — Juin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11A" w:sz="3"/>
              <w:left w:val="none" w:color="FFFFFF" w:sz="0"/>
              <w:bottom w:val="single" w:color="E8511A" w:sz="3"/>
              <w:right w:val="none" w:color="FFFFFF" w:sz="0"/>
            </w:tcBorders>
            <w:shd w:fill="F5F5F5" w:val="clear"/>
            <w:tcMar>
              <w:top w:type="dxa" w:w="120"/>
              <w:left w:type="dxa" w:w="300"/>
              <w:bottom w:type="dxa" w:w="120"/>
              <w:right w:type="dxa" w:w="300"/>
            </w:tcMar>
          </w:tcPr>
          <w:p>
            <w:pPr>
              <w:spacing w:after="60" w:before="50"/>
            </w:pPr>
            <w:r>
              <w:rPr>
                <w:rFonts w:ascii="Arial" w:cs="Arial" w:eastAsia="Arial" w:hAnsi="Arial"/>
                <w:b/>
                <w:bCs/>
                <w:i w:val="false"/>
                <w:iCs w:val="false"/>
                <w:color w:val="1B2A4A"/>
                <w:sz w:val="19"/>
                <w:szCs w:val="19"/>
              </w:rPr>
              <w:t xml:space="preserve">Périmètre de ce dossier</w:t>
            </w:r>
          </w:p>
          <w:p>
            <w:pPr>
              <w:spacing w:after="20" w:before="20"/>
            </w:pPr>
            <w:r>
              <w:rPr>
                <w:rFonts w:ascii="Arial" w:cs="Arial" w:eastAsia="Arial" w:hAnsi="Arial"/>
                <w:b w:val="false"/>
                <w:bCs w:val="false"/>
                <w:i w:val="false"/>
                <w:iCs w:val="false"/>
                <w:color w:val="22A050"/>
                <w:sz w:val="18"/>
                <w:szCs w:val="18"/>
              </w:rPr>
              <w:t xml:space="preserve">✅  Bloc 1 : Concevoir et piloter un projet No-Code (Q1.1 à Q1.5) — Rédigé</w:t>
            </w:r>
          </w:p>
          <w:p>
            <w:pPr>
              <w:spacing w:after="20" w:before="20"/>
            </w:pPr>
            <w:r>
              <w:rPr>
                <w:rFonts w:ascii="Arial" w:cs="Arial" w:eastAsia="Arial" w:hAnsi="Arial"/>
                <w:b w:val="false"/>
                <w:bCs w:val="false"/>
                <w:i w:val="false"/>
                <w:iCs w:val="false"/>
                <w:color w:val="777777"/>
                <w:sz w:val="18"/>
                <w:szCs w:val="18"/>
              </w:rPr>
              <w:t xml:space="preserve">🔲  Bloc 2 : Construire le produit (Q2.1 à Q2.4) — À rédiger</w:t>
            </w:r>
          </w:p>
          <w:p>
            <w:pPr>
              <w:spacing w:after="20" w:before="20"/>
            </w:pPr>
            <w:r>
              <w:rPr>
                <w:rFonts w:ascii="Arial" w:cs="Arial" w:eastAsia="Arial" w:hAnsi="Arial"/>
                <w:b w:val="false"/>
                <w:bCs w:val="false"/>
                <w:i w:val="false"/>
                <w:iCs w:val="false"/>
                <w:color w:val="777777"/>
                <w:sz w:val="18"/>
                <w:szCs w:val="18"/>
              </w:rPr>
              <w:t xml:space="preserve">🔲  Bloc 3 : Traitement des données (Q3.1 à Q3.2) — À rédiger</w:t>
            </w:r>
          </w:p>
          <w:p>
            <w:pPr>
              <w:spacing w:after="50" w:before="20"/>
            </w:pPr>
            <w:r>
              <w:rPr>
                <w:rFonts w:ascii="Arial" w:cs="Arial" w:eastAsia="Arial" w:hAnsi="Arial"/>
                <w:b w:val="false"/>
                <w:bCs w:val="false"/>
                <w:i w:val="false"/>
                <w:iCs w:val="false"/>
                <w:color w:val="777777"/>
                <w:sz w:val="18"/>
                <w:szCs w:val="18"/>
              </w:rPr>
              <w:t xml:space="preserve">🔲  Bloc 4 : Sécurité &amp; conformité (Q4.1 à Q4.4) — À rédiger</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Liens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c>
          <w:tcPr>
            <w:tcW w:type="dxa" w:w="17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Outil</w:t>
            </w:r>
          </w:p>
        </w:tc>
        <w:tc>
          <w:tcPr>
            <w:tcW w:type="dxa" w:w="37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URL</w:t>
            </w:r>
          </w:p>
        </w:tc>
        <w:tc>
          <w:tcPr>
            <w:tcW w:type="dxa" w:w="39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Rôle</w:t>
            </w:r>
          </w:p>
        </w:tc>
      </w:tr>
      <w:tr>
        <w:tc>
          <w:tcPr>
            <w:tcW w:type="dxa" w:w="17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Hub Vercel</w:t>
            </w:r>
          </w:p>
        </w:tc>
        <w:tc>
          <w:tcPr>
            <w:tcW w:type="dxa" w:w="37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playoff-pro.vercel.app</w:t>
            </w:r>
          </w:p>
        </w:tc>
        <w:tc>
          <w:tcPr>
            <w:tcW w:type="dxa" w:w="39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Tableau de bord centralisé</w:t>
            </w:r>
          </w:p>
        </w:tc>
      </w:tr>
      <w:tr>
        <w:tc>
          <w:tcPr>
            <w:tcW w:type="dxa" w:w="17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GitHub</w:t>
            </w:r>
          </w:p>
        </w:tc>
        <w:tc>
          <w:tcPr>
            <w:tcW w:type="dxa" w:w="37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github.com/sandrinedarrieu-bit/playoff-pro</w:t>
            </w:r>
          </w:p>
        </w:tc>
        <w:tc>
          <w:tcPr>
            <w:tcW w:type="dxa" w:w="39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Dépôt source</w:t>
            </w:r>
          </w:p>
        </w:tc>
      </w:tr>
      <w:tr>
        <w:tc>
          <w:tcPr>
            <w:tcW w:type="dxa" w:w="17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Lovable</w:t>
            </w:r>
          </w:p>
        </w:tc>
        <w:tc>
          <w:tcPr>
            <w:tcW w:type="dxa" w:w="37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turf-tribe-now.lovable.app</w:t>
            </w:r>
          </w:p>
        </w:tc>
        <w:tc>
          <w:tcPr>
            <w:tcW w:type="dxa" w:w="39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Démo cliquable WePlay</w:t>
            </w:r>
          </w:p>
        </w:tc>
      </w:tr>
      <w:tr>
        <w:tc>
          <w:tcPr>
            <w:tcW w:type="dxa" w:w="17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Figma</w:t>
            </w:r>
          </w:p>
        </w:tc>
        <w:tc>
          <w:tcPr>
            <w:tcW w:type="dxa" w:w="37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figma.com/design/XDPH6sF56nPtYSCk1A7Ggn/WePlay</w:t>
            </w:r>
          </w:p>
        </w:tc>
        <w:tc>
          <w:tcPr>
            <w:tcW w:type="dxa" w:w="39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Design System + écrans</w:t>
            </w:r>
          </w:p>
        </w:tc>
      </w:tr>
      <w:tr>
        <w:tc>
          <w:tcPr>
            <w:tcW w:type="dxa" w:w="17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Bubble</w:t>
            </w:r>
          </w:p>
        </w:tc>
        <w:tc>
          <w:tcPr>
            <w:tcW w:type="dxa" w:w="37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bubble.io/page?id=weplay-14317</w:t>
            </w:r>
          </w:p>
        </w:tc>
        <w:tc>
          <w:tcPr>
            <w:tcW w:type="dxa" w:w="39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Application NoCode en cours</w:t>
            </w:r>
          </w:p>
        </w:tc>
      </w:tr>
      <w:tr>
        <w:tc>
          <w:tcPr>
            <w:tcW w:type="dxa" w:w="17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Airtable</w:t>
            </w:r>
          </w:p>
        </w:tc>
        <w:tc>
          <w:tcPr>
            <w:tcW w:type="dxa" w:w="37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Base ID : appk3ibcTEHYCJXtz</w:t>
            </w:r>
          </w:p>
        </w:tc>
        <w:tc>
          <w:tcPr>
            <w:tcW w:type="dxa" w:w="39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Base relationnelle PlayOff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C1, C2</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Q1.1  </w:t>
            </w:r>
            <w:r>
              <w:rPr>
                <w:rFonts w:ascii="Arial" w:cs="Arial" w:eastAsia="Arial" w:hAnsi="Arial"/>
                <w:b/>
                <w:bCs/>
                <w:color w:val="FFFFFF"/>
                <w:sz w:val="22"/>
                <w:szCs w:val="22"/>
              </w:rPr>
              <w:t xml:space="preserve">Analyse des besoins et choix de plateformes</w:t>
            </w:r>
          </w:p>
        </w:tc>
      </w:tr>
    </w:tbl>
    <w:p>
      <w:pPr>
        <w:spacing w:after="40" w:before="60"/>
      </w:pPr>
      <w:r>
        <w:t xml:space="preserve"/>
      </w:r>
    </w:p>
    <w:p>
      <w:pPr>
        <w:spacing w:after="50" w:before="50"/>
      </w:pPr>
      <w:r>
        <w:rPr>
          <w:rFonts w:ascii="Arial" w:cs="Arial" w:eastAsia="Arial" w:hAnsi="Arial"/>
          <w:b w:val="false"/>
          <w:bCs w:val="false"/>
          <w:i/>
          <w:iCs/>
          <w:color w:val="777777"/>
          <w:sz w:val="18"/>
          <w:szCs w:val="18"/>
        </w:rPr>
        <w:t xml:space="preserve">Présentez les besoins de votre projet, expliquez pourquoi les plateformes No-Code mobilisées sont adaptées, comparez leurs forces et limites. 1 visuel max.</w:t>
      </w:r>
    </w:p>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Contexte et besoins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0F4FF"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PlayOff Amateurs organisait ses compétitions sportives à l'aide de tableurs multiples, d'échanges email non structurés et d'outils hétérogènes — sans vision commune du cycle de vie d'une compétition. La mission consistait à : (1) structurer et centraliser les données opérationnelles, (2) automatiser les flux critiques, et (3) concevoir, prototyper et lancer WePlay, une nouvelle application de location de terrains de sport entre amis. La progression en deux projets distincts (Projet 1 : ops interne S1–S5 / Projet 2 : WePlay S6–S12) permet d'apporter de la valeur à chaque sprint tout en réduisant le risque technique.</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Tableau comparatif des plateformes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Plateforme</w:t>
            </w:r>
          </w:p>
        </w:tc>
        <w:tc>
          <w:tcPr>
            <w:tcW w:type="dxa" w:w="378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Argument clé</w:t>
            </w:r>
          </w:p>
        </w:tc>
        <w:tc>
          <w:tcPr>
            <w:tcW w:type="dxa" w:w="418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Limites identifiées</w:t>
            </w:r>
          </w:p>
        </w:tc>
      </w:tr>
      <w:tr>
        <w:tc>
          <w:tcPr>
            <w:tcW w:type="dxa" w:w="1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Notion</w:t>
            </w:r>
          </w:p>
        </w:tc>
        <w:tc>
          <w:tcPr>
            <w:tcW w:type="dxa" w:w="37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Documentation centralisée, roadmap, backlog, Sprint Reviews</w:t>
            </w:r>
          </w:p>
        </w:tc>
        <w:tc>
          <w:tcPr>
            <w:tcW w:type="dxa" w:w="41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Couche documentaire uniquement — déconnectée des données live. 3 versions de palette détectées en cours de mission.</w:t>
            </w:r>
          </w:p>
        </w:tc>
      </w:tr>
      <w:tr>
        <w:tc>
          <w:tcPr>
            <w:tcW w:type="dxa" w:w="1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Airtable</w:t>
            </w:r>
          </w:p>
        </w:tc>
        <w:tc>
          <w:tcPr>
            <w:tcW w:type="dxa" w:w="37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Base relationnelle accessible, formulaires, automatisations natives</w:t>
            </w:r>
          </w:p>
        </w:tc>
        <w:tc>
          <w:tcPr>
            <w:tcW w:type="dxa" w:w="41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Automatisations natives limitées. Formules FIND/ARRAYJOIN complexes. Trigger Watch Records nécessitant un champ Last Modified.</w:t>
            </w:r>
          </w:p>
        </w:tc>
      </w:tr>
      <w:tr>
        <w:tc>
          <w:tcPr>
            <w:tcW w:type="dxa" w:w="1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Make</w:t>
            </w:r>
          </w:p>
        </w:tc>
        <w:tc>
          <w:tcPr>
            <w:tcW w:type="dxa" w:w="37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Automatisation sans code, connecteurs Google natifs (Gmail, Calendar, Docs)</w:t>
            </w:r>
          </w:p>
        </w:tc>
        <w:tc>
          <w:tcPr>
            <w:tcW w:type="dxa" w:w="41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Consommation d'opérations à surveiller. Débogage blueprints JSON itératif. Passation obligatoire à documenter.</w:t>
            </w:r>
          </w:p>
        </w:tc>
      </w:tr>
      <w:tr>
        <w:tc>
          <w:tcPr>
            <w:tcW w:type="dxa" w:w="1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Figma</w:t>
            </w:r>
          </w:p>
        </w:tc>
        <w:tc>
          <w:tcPr>
            <w:tcW w:type="dxa" w:w="37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Design System réutilisable, maquettes précises</w:t>
            </w:r>
          </w:p>
        </w:tc>
        <w:tc>
          <w:tcPr>
            <w:tcW w:type="dxa" w:w="41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Ne génère pas de code. Retranscription manuelle vers Bubble nécessaire.</w:t>
            </w:r>
          </w:p>
        </w:tc>
      </w:tr>
      <w:tr>
        <w:tc>
          <w:tcPr>
            <w:tcW w:type="dxa" w:w="1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Lovable</w:t>
            </w:r>
          </w:p>
        </w:tc>
        <w:tc>
          <w:tcPr>
            <w:tcW w:type="dxa" w:w="37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Prototype cliquable rapide, validation produit immédiate</w:t>
            </w:r>
          </w:p>
        </w:tc>
        <w:tc>
          <w:tcPr>
            <w:tcW w:type="dxa" w:w="41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Aucune BDD ni authentification réelle. Non pensé pour la production.</w:t>
            </w:r>
          </w:p>
        </w:tc>
      </w:tr>
      <w:tr>
        <w:tc>
          <w:tcPr>
            <w:tcW w:type="dxa" w:w="1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Bubble</w:t>
            </w:r>
          </w:p>
        </w:tc>
        <w:tc>
          <w:tcPr>
            <w:tcW w:type="dxa" w:w="37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Application web fonctionnelle et durable, logique métier complète</w:t>
            </w:r>
          </w:p>
        </w:tc>
        <w:tc>
          <w:tcPr>
            <w:tcW w:type="dxa" w:w="41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Courbe d'apprentissage réelle. Implémentation en cours (Sprints 5–6).</w:t>
            </w:r>
          </w:p>
        </w:tc>
      </w:tr>
      <w:tr>
        <w:tc>
          <w:tcPr>
            <w:tcW w:type="dxa" w:w="1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ChatGPT / Claude</w:t>
            </w:r>
          </w:p>
        </w:tc>
        <w:tc>
          <w:tcPr>
            <w:tcW w:type="dxa" w:w="37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Assistance rédactionnelle, génération blueprints Make, débogage formules</w:t>
            </w:r>
          </w:p>
        </w:tc>
        <w:tc>
          <w:tcPr>
            <w:tcW w:type="dxa" w:w="41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Vérification humaine systématique nécessaire.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0F9F0"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Séquençage volontairement progressif : outils internes d'abord (Notion, Airtable, Make — S1 à S5), puis outils produit (Figma, Lovable, Bubble — S6 à S12). Ce séquençage limite les risques opérationnels et crée de la confiance avec les équipes PlayOff.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C3</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Q1.2  </w:t>
            </w:r>
            <w:r>
              <w:rPr>
                <w:rFonts w:ascii="Arial" w:cs="Arial" w:eastAsia="Arial" w:hAnsi="Arial"/>
                <w:b/>
                <w:bCs/>
                <w:color w:val="FFFFFF"/>
                <w:sz w:val="22"/>
                <w:szCs w:val="22"/>
              </w:rPr>
              <w:t xml:space="preserve">Parties prenantes et accessibilité</w:t>
            </w:r>
          </w:p>
        </w:tc>
      </w:tr>
    </w:tbl>
    <w:p>
      <w:pPr>
        <w:spacing w:after="40" w:before="60"/>
      </w:pPr>
      <w:r>
        <w:t xml:space="preserve"/>
      </w:r>
    </w:p>
    <w:p>
      <w:pPr>
        <w:spacing w:after="50" w:before="50"/>
      </w:pPr>
      <w:r>
        <w:rPr>
          <w:rFonts w:ascii="Arial" w:cs="Arial" w:eastAsia="Arial" w:hAnsi="Arial"/>
          <w:b w:val="false"/>
          <w:bCs w:val="false"/>
          <w:i/>
          <w:iCs/>
          <w:color w:val="777777"/>
          <w:sz w:val="18"/>
          <w:szCs w:val="18"/>
        </w:rPr>
        <w:t xml:space="preserve">Décrivez la méthodologie utilisée pour recueillir les attentes des utilisateurs finaux. Précisez les adaptations envisagées pour les situations de handicap.</w:t>
      </w:r>
    </w:p>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Cartographie des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Partie prenante</w:t>
            </w:r>
          </w:p>
        </w:tc>
        <w:tc>
          <w:tcPr>
            <w:tcW w:type="dxa" w:w="35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Rôle</w:t>
            </w:r>
          </w:p>
        </w:tc>
        <w:tc>
          <w:tcPr>
            <w:tcW w:type="dxa" w:w="36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Mode d'interaction</w:t>
            </w:r>
          </w:p>
        </w:tc>
      </w:tr>
      <w:tr>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Jérôme</w:t>
            </w:r>
          </w:p>
        </w:tc>
        <w:tc>
          <w:tcPr>
            <w:tcW w:type="dxa" w:w="3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Directeur des Opérations — commanditaire principal</w:t>
            </w:r>
          </w:p>
        </w:tc>
        <w:tc>
          <w:tcPr>
            <w:tcW w:type="dxa" w:w="36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Reviews bi-hebdomadaires, Slack, emails — 11 CR formalisés</w:t>
            </w:r>
          </w:p>
        </w:tc>
      </w:tr>
      <w:tr>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François</w:t>
            </w:r>
          </w:p>
        </w:tc>
        <w:tc>
          <w:tcPr>
            <w:tcW w:type="dxa" w:w="3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Directeur Général — validation stratégique</w:t>
            </w:r>
          </w:p>
        </w:tc>
        <w:tc>
          <w:tcPr>
            <w:tcW w:type="dxa" w:w="36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Points d'étape aux jalons clés</w:t>
            </w:r>
          </w:p>
        </w:tc>
      </w:tr>
      <w:tr>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Équipes opérationnelles</w:t>
            </w:r>
          </w:p>
        </w:tc>
        <w:tc>
          <w:tcPr>
            <w:tcW w:type="dxa" w:w="3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Utilisateurs Airtable/Make au quotidien</w:t>
            </w:r>
          </w:p>
        </w:tc>
        <w:tc>
          <w:tcPr>
            <w:tcW w:type="dxa" w:w="36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Observation des processus terrain</w:t>
            </w:r>
          </w:p>
        </w:tc>
      </w:tr>
      <w:tr>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Joueurs / capitaines / clubs</w:t>
            </w:r>
          </w:p>
        </w:tc>
        <w:tc>
          <w:tcPr>
            <w:tcW w:type="dxa" w:w="3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Utilisateurs finaux de WePlay</w:t>
            </w:r>
          </w:p>
        </w:tc>
        <w:tc>
          <w:tcPr>
            <w:tcW w:type="dxa" w:w="36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Cas d'usage de référence du brief, questionnaire Tally</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Méthodologie de recueil des besoins</w:t>
      </w:r>
    </w:p>
    <w:p>
      <w:pPr>
        <w:spacing w:after="50" w:before="50"/>
      </w:pPr>
      <w:r>
        <w:rPr>
          <w:rFonts w:ascii="Arial" w:cs="Arial" w:eastAsia="Arial" w:hAnsi="Arial"/>
          <w:b w:val="false"/>
          <w:bCs w:val="false"/>
          <w:i w:val="false"/>
          <w:iCs w:val="false"/>
          <w:color w:val="333333"/>
          <w:sz w:val="19"/>
          <w:szCs w:val="19"/>
        </w:rPr>
        <w:t xml:space="preserve">1 — Entretiens formalisés en CR : chaque échange avec Jérôme et François fait l'objet d'un CR structuré (contexte, besoins, contraintes, décision). 11 réunions de mission du Sprint 0 au Sprint 4.</w:t>
      </w:r>
    </w:p>
    <w:p>
      <w:pPr>
        <w:spacing w:after="50" w:before="50"/>
      </w:pPr>
      <w:r>
        <w:rPr>
          <w:rFonts w:ascii="Arial" w:cs="Arial" w:eastAsia="Arial" w:hAnsi="Arial"/>
          <w:b w:val="false"/>
          <w:bCs w:val="false"/>
          <w:i w:val="false"/>
          <w:iCs w:val="false"/>
          <w:color w:val="333333"/>
          <w:sz w:val="19"/>
          <w:szCs w:val="19"/>
        </w:rPr>
        <w:t xml:space="preserve">2 — Sprint Reviews bi-hebdomadaires : présentation de l'avancement, recueil des réactions à chaud, ajustement des priorités.</w:t>
      </w:r>
    </w:p>
    <w:p>
      <w:pPr>
        <w:spacing w:after="50" w:before="50"/>
      </w:pPr>
      <w:r>
        <w:rPr>
          <w:rFonts w:ascii="Arial" w:cs="Arial" w:eastAsia="Arial" w:hAnsi="Arial"/>
          <w:b w:val="false"/>
          <w:bCs w:val="false"/>
          <w:i w:val="false"/>
          <w:iCs w:val="false"/>
          <w:color w:val="333333"/>
          <w:sz w:val="19"/>
          <w:szCs w:val="19"/>
        </w:rPr>
        <w:t xml:space="preserve">3 — Observation des processus internes : avant le scénario Make 1, la validation d'une équipe reposait sur des relances manuelles de Jérôme, source d'oublis. L'observation directe a permis de concevoir une automatisation adaptée à l'usage réel.</w:t>
      </w:r>
    </w:p>
    <w:p>
      <w:pPr>
        <w:spacing w:after="50" w:before="50"/>
      </w:pPr>
      <w:r>
        <w:rPr>
          <w:rFonts w:ascii="Arial" w:cs="Arial" w:eastAsia="Arial" w:hAnsi="Arial"/>
          <w:b w:val="false"/>
          <w:bCs w:val="false"/>
          <w:i w:val="false"/>
          <w:iCs w:val="false"/>
          <w:color w:val="333333"/>
          <w:sz w:val="19"/>
          <w:szCs w:val="19"/>
        </w:rPr>
        <w:t xml:space="preserve">4 — Questionnaire Tally : recueil de retours à plus grande échelle auprès des joueurs et clubs.</w:t>
      </w:r>
    </w:p>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Adaptations pour les situations de handicap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Axe</w:t>
            </w:r>
          </w:p>
        </w:tc>
        <w:tc>
          <w:tcPr>
            <w:tcW w:type="dxa" w:w="65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Mesure envisagée</w:t>
            </w:r>
          </w:p>
        </w:tc>
      </w:tr>
      <w:tr>
        <w:tc>
          <w:tcPr>
            <w:tcW w:type="dxa" w:w="28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Accessibilité des formulaires</w:t>
            </w:r>
          </w:p>
        </w:tc>
        <w:tc>
          <w:tcPr>
            <w:tcW w:type="dxa" w:w="6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Compatible lecteurs d'écran, labels explicites, ratios WCAG 2.1 niveau AA</w:t>
            </w:r>
          </w:p>
        </w:tc>
      </w:tr>
      <w:tr>
        <w:tc>
          <w:tcPr>
            <w:tcW w:type="dxa" w:w="28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Alternative à l'entretien oral</w:t>
            </w:r>
          </w:p>
        </w:tc>
        <w:tc>
          <w:tcPr>
            <w:tcW w:type="dxa" w:w="65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Questionnaire écrit ou échange asynchrone</w:t>
            </w:r>
          </w:p>
        </w:tc>
      </w:tr>
      <w:tr>
        <w:tc>
          <w:tcPr>
            <w:tcW w:type="dxa" w:w="28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Design System WePlay</w:t>
            </w:r>
          </w:p>
        </w:tc>
        <w:tc>
          <w:tcPr>
            <w:tcW w:type="dxa" w:w="6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Contrôles de contraste (#8C3EF4 / #FF8A00) vérifiés WCAG</w:t>
            </w:r>
          </w:p>
        </w:tc>
      </w:tr>
      <w:tr>
        <w:tc>
          <w:tcPr>
            <w:tcW w:type="dxa" w:w="28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Veille EAA</w:t>
            </w:r>
          </w:p>
        </w:tc>
        <w:tc>
          <w:tcPr>
            <w:tcW w:type="dxa" w:w="65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European Accessibility Act en vigueur juin 2025 — s'applique au module réservation/paiement WePlay. PlayOff relève de l'exemption micro-entreprise actuellement.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C4, C6</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Q1.3  </w:t>
            </w:r>
            <w:r>
              <w:rPr>
                <w:rFonts w:ascii="Arial" w:cs="Arial" w:eastAsia="Arial" w:hAnsi="Arial"/>
                <w:b/>
                <w:bCs/>
                <w:color w:val="FFFFFF"/>
                <w:sz w:val="22"/>
                <w:szCs w:val="22"/>
              </w:rPr>
              <w:t xml:space="preserve">Benchmark — Outil d'audit IA de la base Airtable (OMNI)</w:t>
            </w:r>
          </w:p>
        </w:tc>
      </w:tr>
    </w:tbl>
    <w:p>
      <w:pPr>
        <w:spacing w:after="40" w:before="60"/>
      </w:pPr>
      <w:r>
        <w:t xml:space="preserve"/>
      </w:r>
    </w:p>
    <w:p>
      <w:pPr>
        <w:spacing w:after="50" w:before="50"/>
      </w:pPr>
      <w:r>
        <w:rPr>
          <w:rFonts w:ascii="Arial" w:cs="Arial" w:eastAsia="Arial" w:hAnsi="Arial"/>
          <w:b w:val="false"/>
          <w:bCs w:val="false"/>
          <w:i/>
          <w:iCs/>
          <w:color w:val="777777"/>
          <w:sz w:val="18"/>
          <w:szCs w:val="18"/>
        </w:rPr>
        <w:t xml:space="preserve">Présentez un benchmark réalisé pour sélectionner un outil tiers. Critères retenus, notation, recommandation argumentée. 1 visuel max.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FF8E7"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Contexte : après la structuration de la base Airtable (5 tables, semaine 2), un audit de la modélisation était nécessaire avant de lancer les automatisations Make. Trois approches comparées : OMNI (IA native Airtable), révision manuelle, assistant IA généraliste (ChatGPT/Claude). Base auditée : 243 contacts, 5 tables relationnelles.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40"/>
        <w:gridCol w:w="1940"/>
        <w:gridCol w:w="2580"/>
      </w:tblGrid>
      <w:tr>
        <w:tc>
          <w:tcPr>
            <w:tcW w:type="dxa" w:w="29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Critère</w:t>
            </w:r>
          </w:p>
        </w:tc>
        <w:tc>
          <w:tcPr>
            <w:tcW w:type="dxa" w:w="194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OMNI (IA Airtable)</w:t>
            </w:r>
          </w:p>
        </w:tc>
        <w:tc>
          <w:tcPr>
            <w:tcW w:type="dxa" w:w="194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Révision manuelle</w:t>
            </w:r>
          </w:p>
        </w:tc>
        <w:tc>
          <w:tcPr>
            <w:tcW w:type="dxa" w:w="258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ChatGPT / Claude</w:t>
            </w:r>
          </w:p>
        </w:tc>
      </w:tr>
      <w:tr>
        <w:tc>
          <w:tcPr>
            <w:tcW w:type="dxa" w:w="29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Intégration native Airtable</w:t>
            </w:r>
          </w:p>
        </w:tc>
        <w:tc>
          <w:tcPr>
            <w:tcW w:type="dxa" w:w="194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(export + reformulation)</w:t>
            </w:r>
          </w:p>
        </w:tc>
      </w:tr>
      <w:tr>
        <w:tc>
          <w:tcPr>
            <w:tcW w:type="dxa" w:w="29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Rapidité du diagnostic</w:t>
            </w:r>
          </w:p>
        </w:tc>
        <w:tc>
          <w:tcPr>
            <w:tcW w:type="dxa" w:w="194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(1–2h minimum)</w:t>
            </w:r>
          </w:p>
        </w:tc>
        <w:tc>
          <w:tcPr>
            <w:tcW w:type="dxa" w:w="25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Profondeur analyse relationnelle</w:t>
            </w:r>
          </w:p>
        </w:tc>
        <w:tc>
          <w:tcPr>
            <w:tcW w:type="dxa" w:w="194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Coût</w:t>
            </w:r>
          </w:p>
        </w:tc>
        <w:tc>
          <w:tcPr>
            <w:tcW w:type="dxa" w:w="194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(inclus Airtable)</w:t>
            </w:r>
          </w:p>
        </w:tc>
        <w:tc>
          <w:tcPr>
            <w:tcW w:type="dxa" w:w="194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(0 €)</w:t>
            </w:r>
          </w:p>
        </w:tc>
        <w:tc>
          <w:tcPr>
            <w:tcW w:type="dxa" w:w="25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Adéquation travail en solo</w:t>
            </w:r>
          </w:p>
        </w:tc>
        <w:tc>
          <w:tcPr>
            <w:tcW w:type="dxa" w:w="194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194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t>
            </w:r>
          </w:p>
        </w:tc>
      </w:tr>
      <w:tr>
        <w:tc>
          <w:tcPr>
            <w:tcW w:type="dxa" w:w="29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Note globale</w:t>
            </w:r>
          </w:p>
        </w:tc>
        <w:tc>
          <w:tcPr>
            <w:tcW w:type="dxa" w:w="194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 Retenu</w:t>
            </w:r>
          </w:p>
        </w:tc>
        <w:tc>
          <w:tcPr>
            <w:tcW w:type="dxa" w:w="194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w:t>
            </w:r>
          </w:p>
        </w:tc>
        <w:tc>
          <w:tcPr>
            <w:tcW w:type="dxa" w:w="258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Complémentaire</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Recommandation : OMNI retenu — avec usage complémentaire de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0F9F0"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OMNI analyse directement dans Airtable, sans export. Corrections appliquées : liaison Contact ↔ Équipes/Clubs, simplification du nommage des champs. Limite : certains cas métier spécifiques (lien Disciplines ↔ Compétition) sont hors périmètre d'OMNI — un passage complémentaire par Claude avec le contexte métier détaillé permet d'affiner ces points.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C5</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Q1.4  </w:t>
            </w:r>
            <w:r>
              <w:rPr>
                <w:rFonts w:ascii="Arial" w:cs="Arial" w:eastAsia="Arial" w:hAnsi="Arial"/>
                <w:b/>
                <w:bCs/>
                <w:color w:val="FFFFFF"/>
                <w:sz w:val="22"/>
                <w:szCs w:val="22"/>
              </w:rPr>
              <w:t xml:space="preserve">Maquettage et expérience utilisateur — WePlay</w:t>
            </w:r>
          </w:p>
        </w:tc>
      </w:tr>
    </w:tbl>
    <w:p>
      <w:pPr>
        <w:spacing w:after="40" w:before="60"/>
      </w:pPr>
      <w:r>
        <w:t xml:space="preserve"/>
      </w:r>
    </w:p>
    <w:p>
      <w:pPr>
        <w:spacing w:after="50" w:before="50"/>
      </w:pPr>
      <w:r>
        <w:rPr>
          <w:rFonts w:ascii="Arial" w:cs="Arial" w:eastAsia="Arial" w:hAnsi="Arial"/>
          <w:b w:val="false"/>
          <w:bCs w:val="false"/>
          <w:i/>
          <w:iCs/>
          <w:color w:val="777777"/>
          <w:sz w:val="18"/>
          <w:szCs w:val="18"/>
        </w:rPr>
        <w:t xml:space="preserve">Présentez votre maquette et le parcours utilisateur illustré. Expliquez vos choix d'ergonomie et de design. 3 visuels max.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FF8E7"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Cas d'usage de référence (brief École Cube — Semaine 6) : « En tant que joueur amateur, je veux pouvoir voir rapidement les terrains disponibles près de chez moi, afin de choisir un terrain, réserver un créneau et organiser un match avec mes amis, en comprenant facilement le coût total et la répartition des frais. »</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Parcours utilisateur WePlay — workflow Figma &gt; Lovable &gt; 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c>
          <w:tcPr>
            <w:tcW w:type="dxa" w:w="15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Écran</w:t>
            </w:r>
          </w:p>
        </w:tc>
        <w:tc>
          <w:tcPr>
            <w:tcW w:type="dxa" w:w="33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Fonction</w:t>
            </w:r>
          </w:p>
        </w:tc>
        <w:tc>
          <w:tcPr>
            <w:tcW w:type="dxa" w:w="45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Choix d'ergonomie</w:t>
            </w:r>
          </w:p>
        </w:tc>
      </w:tr>
      <w:tr>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1 — Connexion</w:t>
            </w:r>
          </w:p>
        </w:tc>
        <w:tc>
          <w:tcPr>
            <w:tcW w:type="dxa" w:w="33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Authentification utilisateur</w:t>
            </w:r>
          </w:p>
        </w:tc>
        <w:tc>
          <w:tcPr>
            <w:tcW w:type="dxa" w:w="4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Card centrée, bouton Google, style sobre</w:t>
            </w:r>
          </w:p>
        </w:tc>
      </w:tr>
      <w:tr>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2 — Liste terrains</w:t>
            </w:r>
          </w:p>
        </w:tc>
        <w:tc>
          <w:tcPr>
            <w:tcW w:type="dxa" w:w="33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Terrains disponibles avec filtres sport</w:t>
            </w:r>
          </w:p>
        </w:tc>
        <w:tc>
          <w:tcPr>
            <w:tcW w:type="dxa" w:w="45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Prix visible sur la card — pas besoin d'ouvrir le détail</w:t>
            </w:r>
          </w:p>
        </w:tc>
      </w:tr>
      <w:tr>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3 — Création de session</w:t>
            </w:r>
          </w:p>
        </w:tc>
        <w:tc>
          <w:tcPr>
            <w:tcW w:type="dxa" w:w="33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Sélection créneau, nombre de participants</w:t>
            </w:r>
          </w:p>
        </w:tc>
        <w:tc>
          <w:tcPr>
            <w:tcW w:type="dxa" w:w="4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Compteur libre — règle PlayOff (5 joueurs min) ne s'applique pas à WePlay</w:t>
            </w:r>
          </w:p>
        </w:tc>
      </w:tr>
      <w:tr>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4 — Réservation</w:t>
            </w:r>
          </w:p>
        </w:tc>
        <w:tc>
          <w:tcPr>
            <w:tcW w:type="dxa" w:w="33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Confirmation et répartition des frais</w:t>
            </w:r>
          </w:p>
        </w:tc>
        <w:tc>
          <w:tcPr>
            <w:tcW w:type="dxa" w:w="45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Un seul payeur (organisateur) — montant par participant informatif</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Design System WePlay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Élément</w:t>
            </w:r>
          </w:p>
        </w:tc>
        <w:tc>
          <w:tcPr>
            <w:tcW w:type="dxa" w:w="22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Valeur</w:t>
            </w:r>
          </w:p>
        </w:tc>
        <w:tc>
          <w:tcPr>
            <w:tcW w:type="dxa" w:w="49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Justification</w:t>
            </w:r>
          </w:p>
        </w:tc>
      </w:tr>
      <w:tr>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Couleur principale</w:t>
            </w:r>
          </w:p>
        </w:tc>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Violet #8C3EF4</w:t>
            </w:r>
          </w:p>
        </w:tc>
        <w:tc>
          <w:tcPr>
            <w:tcW w:type="dxa" w:w="49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Identité WePlay — distingue du site PlayOff Navy/Orange</w:t>
            </w:r>
          </w:p>
        </w:tc>
      </w:tr>
      <w:tr>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Couleur CTA</w:t>
            </w:r>
          </w:p>
        </w:tc>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Orange #FF8A00</w:t>
            </w:r>
          </w:p>
        </w:tc>
        <w:tc>
          <w:tcPr>
            <w:tcW w:type="dxa" w:w="49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Rappel identité PlayOff sur les actions principales</w:t>
            </w:r>
          </w:p>
        </w:tc>
      </w:tr>
      <w:tr>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Fond</w:t>
            </w:r>
          </w:p>
        </w:tc>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Blanc + #F3EEFF</w:t>
            </w:r>
          </w:p>
        </w:tc>
        <w:tc>
          <w:tcPr>
            <w:tcW w:type="dxa" w:w="49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Sobriété, lisibilité mobile</w:t>
            </w:r>
          </w:p>
        </w:tc>
      </w:tr>
      <w:tr>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Typographies</w:t>
            </w:r>
          </w:p>
        </w:tc>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Poppins SemiBold + Inter Regular</w:t>
            </w:r>
          </w:p>
        </w:tc>
        <w:tc>
          <w:tcPr>
            <w:tcW w:type="dxa" w:w="49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Lisible sur mobile, usage rapide</w:t>
            </w:r>
          </w:p>
        </w:tc>
      </w:tr>
      <w:tr>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Format écrans</w:t>
            </w:r>
          </w:p>
        </w:tc>
        <w:tc>
          <w:tcPr>
            <w:tcW w:type="dxa" w:w="22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390x844px (iPhone 14, mobile-first)</w:t>
            </w:r>
          </w:p>
        </w:tc>
        <w:tc>
          <w:tcPr>
            <w:tcW w:type="dxa" w:w="49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Cas d'usage terrain : réservation en mobilité</w:t>
            </w:r>
          </w:p>
        </w:tc>
      </w:tr>
      <w:tr>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Sobriété</w:t>
            </w:r>
          </w:p>
        </w:tc>
        <w:tc>
          <w:tcPr>
            <w:tcW w:type="dxa" w:w="22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4 couleurs, 2 typographies, 4 composants UI</w:t>
            </w:r>
          </w:p>
        </w:tc>
        <w:tc>
          <w:tcPr>
            <w:tcW w:type="dxa" w:w="49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Posture Product Builder conforme au brief École Cube</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Outil</w:t>
            </w:r>
          </w:p>
        </w:tc>
        <w:tc>
          <w:tcPr>
            <w:tcW w:type="dxa" w:w="30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Livrable</w:t>
            </w:r>
          </w:p>
        </w:tc>
        <w:tc>
          <w:tcPr>
            <w:tcW w:type="dxa" w:w="48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URL</w:t>
            </w:r>
          </w:p>
        </w:tc>
      </w:tr>
      <w:tr>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Figma</w:t>
            </w:r>
          </w:p>
        </w:tc>
        <w:tc>
          <w:tcPr>
            <w:tcW w:type="dxa" w:w="30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Design System + écrans WePlay</w:t>
            </w:r>
          </w:p>
        </w:tc>
        <w:tc>
          <w:tcPr>
            <w:tcW w:type="dxa" w:w="4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figma.com/design/XDPH6sF56nPtYSCk1A7Ggn/WePlay</w:t>
            </w:r>
          </w:p>
        </w:tc>
      </w:tr>
      <w:tr>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Lovable</w:t>
            </w:r>
          </w:p>
        </w:tc>
        <w:tc>
          <w:tcPr>
            <w:tcW w:type="dxa" w:w="30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Prototype cliquable</w:t>
            </w:r>
          </w:p>
        </w:tc>
        <w:tc>
          <w:tcPr>
            <w:tcW w:type="dxa" w:w="4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turf-tribe-now.lovable.app</w:t>
            </w:r>
          </w:p>
        </w:tc>
      </w:tr>
      <w:tr>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Bubble</w:t>
            </w:r>
          </w:p>
        </w:tc>
        <w:tc>
          <w:tcPr>
            <w:tcW w:type="dxa" w:w="30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Application MVP</w:t>
            </w:r>
          </w:p>
        </w:tc>
        <w:tc>
          <w:tcPr>
            <w:tcW w:type="dxa" w:w="4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bubble.io/page?id=weplay-14317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E8511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C7, C8</w:t>
            </w:r>
          </w:p>
        </w:tc>
        <w:tc>
          <w:tcPr>
            <w:tcW w:type="dxa" w:w="7460"/>
            <w:tcBorders>
              <w:top w:val="none" w:color="FFFFFF" w:sz="0"/>
              <w:left w:val="none" w:color="FFFFFF" w:sz="0"/>
              <w:bottom w:val="none" w:color="FFFFFF" w:sz="0"/>
              <w:right w:val="none" w:color="FFFFFF" w:sz="0"/>
            </w:tcBorders>
            <w:shd w:fill="1B2A4A" w:val="clear"/>
            <w:tcMar>
              <w:top w:type="dxa" w:w="80"/>
              <w:left w:type="dxa" w:w="200"/>
              <w:bottom w:type="dxa" w:w="80"/>
              <w:right w:type="dxa" w:w="120"/>
            </w:tcMar>
          </w:tcPr>
          <w:p>
            <w:r>
              <w:rPr>
                <w:rFonts w:ascii="Arial" w:cs="Arial" w:eastAsia="Arial" w:hAnsi="Arial"/>
                <w:b/>
                <w:bCs/>
                <w:color w:val="E8511A"/>
                <w:sz w:val="22"/>
                <w:szCs w:val="22"/>
              </w:rPr>
              <w:t xml:space="preserve">Q1.5  </w:t>
            </w:r>
            <w:r>
              <w:rPr>
                <w:rFonts w:ascii="Arial" w:cs="Arial" w:eastAsia="Arial" w:hAnsi="Arial"/>
                <w:b/>
                <w:bCs/>
                <w:color w:val="FFFFFF"/>
                <w:sz w:val="22"/>
                <w:szCs w:val="22"/>
              </w:rPr>
              <w:t xml:space="preserve">Planification et pilotage du projet</w:t>
            </w:r>
          </w:p>
        </w:tc>
      </w:tr>
    </w:tbl>
    <w:p>
      <w:pPr>
        <w:spacing w:after="40" w:before="60"/>
      </w:pPr>
      <w:r>
        <w:t xml:space="preserve"/>
      </w:r>
    </w:p>
    <w:p>
      <w:pPr>
        <w:spacing w:after="50" w:before="50"/>
      </w:pPr>
      <w:r>
        <w:rPr>
          <w:rFonts w:ascii="Arial" w:cs="Arial" w:eastAsia="Arial" w:hAnsi="Arial"/>
          <w:b w:val="false"/>
          <w:bCs w:val="false"/>
          <w:i/>
          <w:iCs/>
          <w:color w:val="777777"/>
          <w:sz w:val="18"/>
          <w:szCs w:val="18"/>
        </w:rPr>
        <w:t xml:space="preserve">Comment planifier et piloter votre projet ? Jalons, outils de suivi, gestion des écarts. 2 visuels max.</w:t>
      </w:r>
    </w:p>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Visuel 1 — Rétroplanning 12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50"/>
        <w:gridCol w:w="3860"/>
        <w:gridCol w:w="1500"/>
        <w:gridCol w:w="2400"/>
      </w:tblGrid>
      <w:tr>
        <w:tc>
          <w:tcPr>
            <w:tcW w:type="dxa" w:w="95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Sprint</w:t>
            </w:r>
          </w:p>
        </w:tc>
        <w:tc>
          <w:tcPr>
            <w:tcW w:type="dxa" w:w="65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Sem.</w:t>
            </w:r>
          </w:p>
        </w:tc>
        <w:tc>
          <w:tcPr>
            <w:tcW w:type="dxa" w:w="38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Livrable principal</w:t>
            </w:r>
          </w:p>
        </w:tc>
        <w:tc>
          <w:tcPr>
            <w:tcW w:type="dxa" w:w="15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Outil</w:t>
            </w:r>
          </w:p>
        </w:tc>
        <w:tc>
          <w:tcPr>
            <w:tcW w:type="dxa" w:w="24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Statut</w:t>
            </w:r>
          </w:p>
        </w:tc>
      </w:tr>
      <w:tr>
        <w:tc>
          <w:tcPr>
            <w:tcW w:type="dxa" w:w="9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1</w:t>
            </w:r>
          </w:p>
        </w:tc>
        <w:tc>
          <w:tcPr>
            <w:tcW w:type="dxa" w:w="6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S1</w:t>
            </w:r>
          </w:p>
        </w:tc>
        <w:tc>
          <w:tcPr>
            <w:tcW w:type="dxa" w:w="3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Roadmap + Backlog + Template Sprint Review</w:t>
            </w:r>
          </w:p>
        </w:tc>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Notion</w:t>
            </w:r>
          </w:p>
        </w:tc>
        <w:tc>
          <w:tcPr>
            <w:tcW w:type="dxa" w:w="2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Sprint 1</w:t>
            </w:r>
          </w:p>
        </w:tc>
        <w:tc>
          <w:tcPr>
            <w:tcW w:type="dxa" w:w="6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S2</w:t>
            </w:r>
          </w:p>
        </w:tc>
        <w:tc>
          <w:tcPr>
            <w:tcW w:type="dxa" w:w="3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Base Airtable (5 tables) + Page Sécurité</w:t>
            </w:r>
          </w:p>
        </w:tc>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Airtable</w:t>
            </w:r>
          </w:p>
        </w:tc>
        <w:tc>
          <w:tcPr>
            <w:tcW w:type="dxa" w:w="2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2</w:t>
            </w:r>
          </w:p>
        </w:tc>
        <w:tc>
          <w:tcPr>
            <w:tcW w:type="dxa" w:w="6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S3</w:t>
            </w:r>
          </w:p>
        </w:tc>
        <w:tc>
          <w:tcPr>
            <w:tcW w:type="dxa" w:w="3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Base enrichie + vues + formulaire + automatisations natives</w:t>
            </w:r>
          </w:p>
        </w:tc>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Airtable</w:t>
            </w:r>
          </w:p>
        </w:tc>
        <w:tc>
          <w:tcPr>
            <w:tcW w:type="dxa" w:w="2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Sprint 2</w:t>
            </w:r>
          </w:p>
        </w:tc>
        <w:tc>
          <w:tcPr>
            <w:tcW w:type="dxa" w:w="6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S4</w:t>
            </w:r>
          </w:p>
        </w:tc>
        <w:tc>
          <w:tcPr>
            <w:tcW w:type="dxa" w:w="3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Benchmark OMNI + Make/Zapier/n8n + Scénario Make 1</w:t>
            </w:r>
          </w:p>
        </w:tc>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Make</w:t>
            </w:r>
          </w:p>
        </w:tc>
        <w:tc>
          <w:tcPr>
            <w:tcW w:type="dxa" w:w="2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3</w:t>
            </w:r>
          </w:p>
        </w:tc>
        <w:tc>
          <w:tcPr>
            <w:tcW w:type="dxa" w:w="6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S5</w:t>
            </w:r>
          </w:p>
        </w:tc>
        <w:tc>
          <w:tcPr>
            <w:tcW w:type="dxa" w:w="3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Scénario Make 2 + Page Sécurité Make + Passation</w:t>
            </w:r>
          </w:p>
        </w:tc>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Make</w:t>
            </w:r>
          </w:p>
        </w:tc>
        <w:tc>
          <w:tcPr>
            <w:tcW w:type="dxa" w:w="2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À corriger</w:t>
            </w:r>
          </w:p>
        </w:tc>
      </w:tr>
      <w:tr>
        <w:tc>
          <w:tcPr>
            <w:tcW w:type="dxa" w:w="9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Sprint 3</w:t>
            </w:r>
          </w:p>
        </w:tc>
        <w:tc>
          <w:tcPr>
            <w:tcW w:type="dxa" w:w="6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S6</w:t>
            </w:r>
          </w:p>
        </w:tc>
        <w:tc>
          <w:tcPr>
            <w:tcW w:type="dxa" w:w="3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Design System Figma + 2–3 écrans clés</w:t>
            </w:r>
          </w:p>
        </w:tc>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Figma</w:t>
            </w:r>
          </w:p>
        </w:tc>
        <w:tc>
          <w:tcPr>
            <w:tcW w:type="dxa" w:w="2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4</w:t>
            </w:r>
          </w:p>
        </w:tc>
        <w:tc>
          <w:tcPr>
            <w:tcW w:type="dxa" w:w="6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S7</w:t>
            </w:r>
          </w:p>
        </w:tc>
        <w:tc>
          <w:tcPr>
            <w:tcW w:type="dxa" w:w="3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Démo Lovable cliquable + prompt produit</w:t>
            </w:r>
          </w:p>
        </w:tc>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Lovable</w:t>
            </w:r>
          </w:p>
        </w:tc>
        <w:tc>
          <w:tcPr>
            <w:tcW w:type="dxa" w:w="2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Sprint 4</w:t>
            </w:r>
          </w:p>
        </w:tc>
        <w:tc>
          <w:tcPr>
            <w:tcW w:type="dxa" w:w="6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S8</w:t>
            </w:r>
          </w:p>
        </w:tc>
        <w:tc>
          <w:tcPr>
            <w:tcW w:type="dxa" w:w="3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Schéma BDD (9 objets) + matrice permissions</w:t>
            </w:r>
          </w:p>
        </w:tc>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Figma/Notion</w:t>
            </w:r>
          </w:p>
        </w:tc>
        <w:tc>
          <w:tcPr>
            <w:tcW w:type="dxa" w:w="2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Fait</w:t>
            </w:r>
          </w:p>
        </w:tc>
      </w:tr>
      <w:tr>
        <w:tc>
          <w:tcPr>
            <w:tcW w:type="dxa" w:w="9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5</w:t>
            </w:r>
          </w:p>
        </w:tc>
        <w:tc>
          <w:tcPr>
            <w:tcW w:type="dxa" w:w="6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S9</w:t>
            </w:r>
          </w:p>
        </w:tc>
        <w:tc>
          <w:tcPr>
            <w:tcW w:type="dxa" w:w="3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Définition de la stack technique</w:t>
            </w:r>
          </w:p>
        </w:tc>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Notion</w:t>
            </w:r>
          </w:p>
        </w:tc>
        <w:tc>
          <w:tcPr>
            <w:tcW w:type="dxa" w:w="2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À faire</w:t>
            </w:r>
          </w:p>
        </w:tc>
      </w:tr>
      <w:tr>
        <w:tc>
          <w:tcPr>
            <w:tcW w:type="dxa" w:w="9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Sprint 5</w:t>
            </w:r>
          </w:p>
        </w:tc>
        <w:tc>
          <w:tcPr>
            <w:tcW w:type="dxa" w:w="6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S10</w:t>
            </w:r>
          </w:p>
        </w:tc>
        <w:tc>
          <w:tcPr>
            <w:tcW w:type="dxa" w:w="3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Implémentation MVP Bubble (4 pages)</w:t>
            </w:r>
          </w:p>
        </w:tc>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Bubble</w:t>
            </w:r>
          </w:p>
        </w:tc>
        <w:tc>
          <w:tcPr>
            <w:tcW w:type="dxa" w:w="2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En cours</w:t>
            </w:r>
          </w:p>
        </w:tc>
      </w:tr>
      <w:tr>
        <w:tc>
          <w:tcPr>
            <w:tcW w:type="dxa" w:w="9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Sprint 6</w:t>
            </w:r>
          </w:p>
        </w:tc>
        <w:tc>
          <w:tcPr>
            <w:tcW w:type="dxa" w:w="65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S11</w:t>
            </w:r>
          </w:p>
        </w:tc>
        <w:tc>
          <w:tcPr>
            <w:tcW w:type="dxa" w:w="38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Sécurisation, privacy rules, documentation</w:t>
            </w:r>
          </w:p>
        </w:tc>
        <w:tc>
          <w:tcPr>
            <w:tcW w:type="dxa" w:w="15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Bubble</w:t>
            </w:r>
          </w:p>
        </w:tc>
        <w:tc>
          <w:tcPr>
            <w:tcW w:type="dxa" w:w="24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À faire</w:t>
            </w:r>
          </w:p>
        </w:tc>
      </w:tr>
      <w:tr>
        <w:tc>
          <w:tcPr>
            <w:tcW w:type="dxa" w:w="9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Sprint 6</w:t>
            </w:r>
          </w:p>
        </w:tc>
        <w:tc>
          <w:tcPr>
            <w:tcW w:type="dxa" w:w="65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S12</w:t>
            </w:r>
          </w:p>
        </w:tc>
        <w:tc>
          <w:tcPr>
            <w:tcW w:type="dxa" w:w="38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Finalisation et préparation soutenance</w:t>
            </w:r>
          </w:p>
        </w:tc>
        <w:tc>
          <w:tcPr>
            <w:tcW w:type="dxa" w:w="15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Tous</w:t>
            </w:r>
          </w:p>
        </w:tc>
        <w:tc>
          <w:tcPr>
            <w:tcW w:type="dxa" w:w="24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 À faire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FF0F0"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Point critique — S5 : le Scénario Make 2 (déclencheur Inscriptions clôturées &gt; Google Doc + email Ops) n'a pas été réalisé malgré un marquage ✅ par erreur dans le suivi. Priorité absolue avant soutenance.</w:t>
            </w:r>
          </w:p>
        </w:tc>
      </w:tr>
    </w:tbl>
    <w:p>
      <w:pPr>
        <w:spacing w:after="80" w:before="80"/>
      </w:pPr>
      <w:r>
        <w:t xml:space="preserve"/>
      </w:r>
    </w:p>
    <w:p>
      <w:pPr>
        <w:pBdr>
          <w:bottom w:val="single" w:color="E8511A" w:sz="4"/>
        </w:pBdr>
        <w:spacing w:after="80" w:before="160"/>
      </w:pPr>
      <w:r>
        <w:rPr>
          <w:rFonts w:ascii="Arial" w:cs="Arial" w:eastAsia="Arial" w:hAnsi="Arial"/>
          <w:b/>
          <w:bCs/>
          <w:color w:val="1B2A4A"/>
          <w:sz w:val="22"/>
          <w:szCs w:val="22"/>
        </w:rPr>
        <w:t xml:space="preserve">Visuel 2 — Registre des écarts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60"/>
        <w:gridCol w:w="3300"/>
      </w:tblGrid>
      <w:tr>
        <w:tc>
          <w:tcPr>
            <w:tcW w:type="dxa" w:w="7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Période</w:t>
            </w:r>
          </w:p>
        </w:tc>
        <w:tc>
          <w:tcPr>
            <w:tcW w:type="dxa" w:w="28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Écart</w:t>
            </w:r>
          </w:p>
        </w:tc>
        <w:tc>
          <w:tcPr>
            <w:tcW w:type="dxa" w:w="256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Cause</w:t>
            </w:r>
          </w:p>
        </w:tc>
        <w:tc>
          <w:tcPr>
            <w:tcW w:type="dxa" w:w="3300"/>
            <w:tcBorders>
              <w:top w:val="single" w:color="DDDDDD" w:sz="3"/>
              <w:left w:val="single" w:color="DDDDDD" w:sz="3"/>
              <w:bottom w:val="single" w:color="DDDDDD" w:sz="3"/>
              <w:right w:val="single" w:color="DDDDDD" w:sz="3"/>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Action corrective</w:t>
            </w:r>
          </w:p>
        </w:tc>
      </w:tr>
      <w:tr>
        <w:tc>
          <w:tcPr>
            <w:tcW w:type="dxa" w:w="7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S5</w:t>
            </w:r>
          </w:p>
        </w:tc>
        <w:tc>
          <w:tcPr>
            <w:tcW w:type="dxa" w:w="28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Scénario Make 2 marqué ✅ sans être réalisé</w:t>
            </w:r>
          </w:p>
        </w:tc>
        <w:tc>
          <w:tcPr>
            <w:tcW w:type="dxa" w:w="2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Statut déclaré sans vérification du livrable</w:t>
            </w:r>
          </w:p>
        </w:tc>
        <w:tc>
          <w:tcPr>
            <w:tcW w:type="dxa" w:w="33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 À implémenter avant soutenance</w:t>
            </w:r>
          </w:p>
        </w:tc>
      </w:tr>
      <w:tr>
        <w:tc>
          <w:tcPr>
            <w:tcW w:type="dxa" w:w="7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S3–S4</w:t>
            </w:r>
          </w:p>
        </w:tc>
        <w:tc>
          <w:tcPr>
            <w:tcW w:type="dxa" w:w="28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3 palettes coexistant dans les livrables</w:t>
            </w:r>
          </w:p>
        </w:tc>
        <w:tc>
          <w:tcPr>
            <w:tcW w:type="dxa" w:w="25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Travaux en parallèle sans référence unique</w:t>
            </w:r>
          </w:p>
        </w:tc>
        <w:tc>
          <w:tcPr>
            <w:tcW w:type="dxa" w:w="33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Palette WePlay validée (#8C3EF4/#FF8A00) ✅</w:t>
            </w:r>
          </w:p>
        </w:tc>
      </w:tr>
      <w:tr>
        <w:tc>
          <w:tcPr>
            <w:tcW w:type="dxa" w:w="7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S7</w:t>
            </w:r>
          </w:p>
        </w:tc>
        <w:tc>
          <w:tcPr>
            <w:tcW w:type="dxa" w:w="28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Écran Lovable non cliquable</w:t>
            </w:r>
          </w:p>
        </w:tc>
        <w:tc>
          <w:tcPr>
            <w:tcW w:type="dxa" w:w="2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Décalage build/déploiement</w:t>
            </w:r>
          </w:p>
        </w:tc>
        <w:tc>
          <w:tcPr>
            <w:tcW w:type="dxa" w:w="33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Rafraîchissement forcé ✅</w:t>
            </w:r>
          </w:p>
        </w:tc>
      </w:tr>
      <w:tr>
        <w:tc>
          <w:tcPr>
            <w:tcW w:type="dxa" w:w="7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S7</w:t>
            </w:r>
          </w:p>
        </w:tc>
        <w:tc>
          <w:tcPr>
            <w:tcW w:type="dxa" w:w="28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Renommage TerrainLink → WePlay</w:t>
            </w:r>
          </w:p>
        </w:tc>
        <w:tc>
          <w:tcPr>
            <w:tcW w:type="dxa" w:w="256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Évolution positionnement produit</w:t>
            </w:r>
          </w:p>
        </w:tc>
        <w:tc>
          <w:tcPr>
            <w:tcW w:type="dxa" w:w="3300"/>
            <w:tcBorders>
              <w:top w:val="single" w:color="DDDDDD" w:sz="3"/>
              <w:left w:val="single" w:color="DDDDDD" w:sz="3"/>
              <w:bottom w:val="single" w:color="DDDDDD" w:sz="3"/>
              <w:right w:val="single" w:color="DDDDDD" w:sz="3"/>
            </w:tcBorders>
            <w:shd w:fill="F5F5F5" w:val="clear"/>
            <w:tcMar>
              <w:top w:type="dxa" w:w="50"/>
              <w:left w:type="dxa" w:w="100"/>
              <w:bottom w:type="dxa" w:w="50"/>
              <w:right w:type="dxa" w:w="100"/>
            </w:tcMar>
          </w:tcPr>
          <w:p>
            <w:r>
              <w:rPr>
                <w:rFonts w:ascii="Arial" w:cs="Arial" w:eastAsia="Arial" w:hAnsi="Arial"/>
                <w:color w:val="333333"/>
                <w:sz w:val="17"/>
                <w:szCs w:val="17"/>
              </w:rPr>
              <w:t xml:space="preserve">Tous livrables mis à jour ✅</w:t>
            </w:r>
          </w:p>
        </w:tc>
      </w:tr>
      <w:tr>
        <w:tc>
          <w:tcPr>
            <w:tcW w:type="dxa" w:w="7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S10</w:t>
            </w:r>
          </w:p>
        </w:tc>
        <w:tc>
          <w:tcPr>
            <w:tcW w:type="dxa" w:w="28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Écrans Figma non construisibles dans Bubble</w:t>
            </w:r>
          </w:p>
        </w:tc>
        <w:tc>
          <w:tcPr>
            <w:tcW w:type="dxa" w:w="256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Figma trop avancé vs capacités Bubble actuelles</w:t>
            </w:r>
          </w:p>
        </w:tc>
        <w:tc>
          <w:tcPr>
            <w:tcW w:type="dxa" w:w="3300"/>
            <w:tcBorders>
              <w:top w:val="single" w:color="DDDDDD" w:sz="3"/>
              <w:left w:val="single" w:color="DDDDDD" w:sz="3"/>
              <w:bottom w:val="single" w:color="DDDDDD" w:sz="3"/>
              <w:right w:val="single" w:color="DDDDDD" w:sz="3"/>
            </w:tcBorders>
            <w:shd w:fill="FFFFFF" w:val="clear"/>
            <w:tcMar>
              <w:top w:type="dxa" w:w="50"/>
              <w:left w:type="dxa" w:w="100"/>
              <w:bottom w:type="dxa" w:w="50"/>
              <w:right w:type="dxa" w:w="100"/>
            </w:tcMar>
          </w:tcPr>
          <w:p>
            <w:r>
              <w:rPr>
                <w:rFonts w:ascii="Arial" w:cs="Arial" w:eastAsia="Arial" w:hAnsi="Arial"/>
                <w:color w:val="333333"/>
                <w:sz w:val="17"/>
                <w:szCs w:val="17"/>
              </w:rPr>
              <w:t xml:space="preserve">Workflow inversé : Bubble &gt; Figma/Lovable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EF4" w:sz="3"/>
              <w:left w:val="single" w:color="8C3EF4" w:sz="3"/>
              <w:bottom w:val="single" w:color="DDDDDD" w:sz="3"/>
              <w:right w:val="none" w:color="FFFFFF" w:sz="0"/>
            </w:tcBorders>
            <w:shd w:fill="F0F4FF" w:val="clear"/>
            <w:tcMar>
              <w:top w:type="dxa" w:w="100"/>
              <w:left w:type="dxa" w:w="200"/>
              <w:bottom w:type="dxa" w:w="100"/>
              <w:right w:type="dxa" w:w="160"/>
            </w:tcMar>
          </w:tcPr>
          <w:p>
            <w:pPr>
              <w:spacing w:after="0" w:before="0"/>
            </w:pPr>
            <w:r>
              <w:rPr>
                <w:rFonts w:ascii="Arial" w:cs="Arial" w:eastAsia="Arial" w:hAnsi="Arial"/>
                <w:i/>
                <w:iCs/>
                <w:color w:val="333333"/>
                <w:sz w:val="18"/>
                <w:szCs w:val="18"/>
              </w:rPr>
              <w:t xml:space="preserve">Méthode appliquée : confronter systématiquement le statut déclaré à la source réelle. Les Sprint Reviews bi-hebdomadaires jouent un rôle de traduction entre niveau technique et niveau métier. Les CR constituent la mémoire commune consultable à tout moment.</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2026-06-24T11:41:20.216Z</dcterms:created>
  <dcterms:modified xsi:type="dcterms:W3CDTF">2026-06-24T11:41:20.231Z</dcterms:modified>
</cp:coreProperties>
</file>

<file path=docProps/custom.xml><?xml version="1.0" encoding="utf-8"?>
<Properties xmlns="http://schemas.openxmlformats.org/officeDocument/2006/custom-properties" xmlns:vt="http://schemas.openxmlformats.org/officeDocument/2006/docPropsVTypes"/>
</file>