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472602105"/>
        <w:docPartObj>
          <w:docPartGallery w:val="Cover Pages"/>
          <w:docPartUnique/>
        </w:docPartObj>
      </w:sdtPr>
      <w:sdtContent>
        <w:p w14:paraId="1815F60F" w14:textId="7BD136A1" w:rsidR="00D43885" w:rsidRDefault="00676B86">
          <w:pPr>
            <w:pStyle w:val="Sansinterligne"/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18BA08E1" wp14:editId="65390F36">
                    <wp:simplePos x="0" y="0"/>
                    <wp:positionH relativeFrom="margin">
                      <wp:align>left</wp:align>
                    </wp:positionH>
                    <wp:positionV relativeFrom="margin">
                      <wp:align>top</wp:align>
                    </wp:positionV>
                    <wp:extent cx="3657600" cy="365760"/>
                    <wp:effectExtent l="0" t="0" r="7620" b="1905"/>
                    <wp:wrapNone/>
                    <wp:docPr id="32" name="Zone de texte 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6F31C9F" w14:textId="7AD2E682" w:rsidR="00D43885" w:rsidRDefault="00000000" w:rsidP="00676B86">
                                <w:pPr>
                                  <w:pStyle w:val="Sansinterligne"/>
                                  <w:rPr>
                                    <w:color w:val="3FDAD2" w:themeColor="accent1"/>
                                    <w:sz w:val="26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color w:val="3FDAD2" w:themeColor="accent1"/>
                                      <w:sz w:val="26"/>
                                      <w:szCs w:val="26"/>
                                    </w:rPr>
                                    <w:alias w:val="Auteu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 w:rsidR="00D43885">
                                      <w:rPr>
                                        <w:color w:val="3FDAD2" w:themeColor="accent1"/>
                                        <w:sz w:val="26"/>
                                        <w:szCs w:val="26"/>
                                      </w:rPr>
                                      <w:t>Sandrine Hardy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8BA08E1" id="_x0000_t202" coordsize="21600,21600" o:spt="202" path="m,l,21600r21600,l21600,xe">
                    <v:stroke joinstyle="miter"/>
                    <v:path gradientshapeok="t" o:connecttype="rect"/>
                  </v:shapetype>
                  <v:shape id="Zone de texte 28" o:spid="_x0000_s1026" type="#_x0000_t202" style="position:absolute;margin-left:0;margin-top:0;width:4in;height:28.8pt;z-index:251660288;visibility:visible;mso-wrap-style:square;mso-width-percent:450;mso-height-percent:0;mso-wrap-distance-left:9pt;mso-wrap-distance-top:0;mso-wrap-distance-right:9pt;mso-wrap-distance-bottom:0;mso-position-horizontal:left;mso-position-horizontal-relative:margin;mso-position-vertical:top;mso-position-vertical-relative:margin;mso-width-percent:45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" filled="f" stroked="f" strokeweight=".5pt">
                    <v:textbox style="mso-fit-shape-to-text:t" inset="0,0,0,0">
                      <w:txbxContent>
                        <w:p w14:paraId="36F31C9F" w14:textId="7AD2E682" w:rsidR="00D43885" w:rsidRDefault="00000000" w:rsidP="00676B86">
                          <w:pPr>
                            <w:pStyle w:val="Sansinterligne"/>
                            <w:rPr>
                              <w:color w:val="3FDAD2" w:themeColor="accent1"/>
                              <w:sz w:val="26"/>
                              <w:szCs w:val="26"/>
                            </w:rPr>
                          </w:pPr>
                          <w:sdt>
                            <w:sdtPr>
                              <w:rPr>
                                <w:color w:val="3FDAD2" w:themeColor="accent1"/>
                                <w:sz w:val="26"/>
                                <w:szCs w:val="26"/>
                              </w:rPr>
                              <w:alias w:val="Auteu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r w:rsidR="00D43885">
                                <w:rPr>
                                  <w:color w:val="3FDAD2" w:themeColor="accent1"/>
                                  <w:sz w:val="26"/>
                                  <w:szCs w:val="26"/>
                                </w:rPr>
                                <w:t>Sandrine Hardy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margin"/>
                  </v:shape>
                </w:pict>
              </mc:Fallback>
            </mc:AlternateContent>
          </w:r>
          <w:r w:rsidR="00D43885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8240" behindDoc="1" locked="0" layoutInCell="1" allowOverlap="1" wp14:anchorId="1D8D6E73" wp14:editId="1046A59D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35" b="0"/>
                    <wp:wrapNone/>
                    <wp:docPr id="2" name="Groupe 2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e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320CFA4" w14:textId="6B12760E" w:rsidR="00D43885" w:rsidRDefault="00676B86">
                                  <w:pPr>
                                    <w:pStyle w:val="Sansinterligne"/>
                                    <w:jc w:val="right"/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AIA -bloc 1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1D8D6E73" id="Groupe 26" o:spid="_x0000_s1027" style="position:absolute;margin-left:0;margin-top:0;width:172.8pt;height:718.55pt;z-index:-251658240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">
                    <v:rect id="Rectangle 3" o:spid="_x0000_s1028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1a7197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e 4" o:spid="_x0000_s1029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" adj="18883" fillcolor="#3fdad2 [3204]" stroked="f" strokeweight="1pt">
                      <v:textbox inset=",0,14.4pt,0">
                        <w:txbxContent>
                          <w:p w14:paraId="7320CFA4" w14:textId="6B12760E" w:rsidR="00D43885" w:rsidRDefault="00676B86">
                            <w:pPr>
                              <w:pStyle w:val="Sansinterligne"/>
                              <w:jc w:val="right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AIA -bloc 1</w:t>
                            </w:r>
                          </w:p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  <w:r w:rsidR="00D43885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BEE3293" wp14:editId="014C3FD2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1870710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1" name="Zone de texte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8F0E199" w14:textId="1445A33C" w:rsidR="00D43885" w:rsidRDefault="00000000">
                                <w:pPr>
                                  <w:pStyle w:val="Sansinterligne"/>
                                  <w:rPr>
                                    <w:rFonts w:asciiTheme="majorHAnsi" w:eastAsiaTheme="majorEastAsia" w:hAnsiTheme="majorHAnsi" w:cstheme="majorBidi"/>
                                    <w:color w:val="1C7AA3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1C7AA3" w:themeColor="text1" w:themeTint="D9"/>
                                      <w:sz w:val="72"/>
                                      <w:szCs w:val="72"/>
                                    </w:rPr>
                                    <w:alias w:val="Titre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D43885">
                                      <w:rPr>
                                        <w:rFonts w:asciiTheme="majorHAnsi" w:eastAsiaTheme="majorEastAsia" w:hAnsiTheme="majorHAnsi" w:cstheme="majorBidi"/>
                                        <w:color w:val="1C7AA3" w:themeColor="text1" w:themeTint="D9"/>
                                        <w:sz w:val="72"/>
                                        <w:szCs w:val="72"/>
                                      </w:rPr>
                                      <w:t>Concevoir et piloter la gouvernance des données</w:t>
                                    </w:r>
                                  </w:sdtContent>
                                </w:sdt>
                              </w:p>
                              <w:p w14:paraId="5C0B7D4D" w14:textId="771428FA" w:rsidR="00D43885" w:rsidRDefault="00000000">
                                <w:pPr>
                                  <w:spacing w:before="120"/>
                                  <w:rPr>
                                    <w:color w:val="2192C3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2192C3" w:themeColor="text1" w:themeTint="BF"/>
                                      <w:sz w:val="36"/>
                                      <w:szCs w:val="36"/>
                                    </w:rPr>
                                    <w:alias w:val="Sous-titre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D43885">
                                      <w:rPr>
                                        <w:color w:val="2192C3" w:themeColor="text1" w:themeTint="BF"/>
                                        <w:sz w:val="36"/>
                                        <w:szCs w:val="36"/>
                                      </w:rPr>
                                      <w:t>Projet Spotify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BEE3293" id="Zone de texte 30" o:spid="_x0000_s1030" type="#_x0000_t202" style="position:absolute;margin-left:0;margin-top:0;width:4in;height:84.25pt;z-index:251659264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" filled="f" stroked="f" strokeweight=".5pt">
                    <v:textbox style="mso-fit-shape-to-text:t" inset="0,0,0,0">
                      <w:txbxContent>
                        <w:p w14:paraId="48F0E199" w14:textId="1445A33C" w:rsidR="00D43885" w:rsidRDefault="00000000">
                          <w:pPr>
                            <w:pStyle w:val="Sansinterligne"/>
                            <w:rPr>
                              <w:rFonts w:asciiTheme="majorHAnsi" w:eastAsiaTheme="majorEastAsia" w:hAnsiTheme="majorHAnsi" w:cstheme="majorBidi"/>
                              <w:color w:val="1C7AA3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1C7AA3" w:themeColor="text1" w:themeTint="D9"/>
                                <w:sz w:val="72"/>
                                <w:szCs w:val="72"/>
                              </w:rPr>
                              <w:alias w:val="Titre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D43885">
                                <w:rPr>
                                  <w:rFonts w:asciiTheme="majorHAnsi" w:eastAsiaTheme="majorEastAsia" w:hAnsiTheme="majorHAnsi" w:cstheme="majorBidi"/>
                                  <w:color w:val="1C7AA3" w:themeColor="text1" w:themeTint="D9"/>
                                  <w:sz w:val="72"/>
                                  <w:szCs w:val="72"/>
                                </w:rPr>
                                <w:t>Concevoir et piloter la gouvernance des données</w:t>
                              </w:r>
                            </w:sdtContent>
                          </w:sdt>
                        </w:p>
                        <w:p w14:paraId="5C0B7D4D" w14:textId="771428FA" w:rsidR="00D43885" w:rsidRDefault="00000000">
                          <w:pPr>
                            <w:spacing w:before="120"/>
                            <w:rPr>
                              <w:color w:val="2192C3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2192C3" w:themeColor="text1" w:themeTint="BF"/>
                                <w:sz w:val="36"/>
                                <w:szCs w:val="36"/>
                              </w:rPr>
                              <w:alias w:val="Sous-titre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D43885">
                                <w:rPr>
                                  <w:color w:val="2192C3" w:themeColor="text1" w:themeTint="BF"/>
                                  <w:sz w:val="36"/>
                                  <w:szCs w:val="36"/>
                                </w:rPr>
                                <w:t>Projet Spotify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32B495CD" w14:textId="3232B643" w:rsidR="002B4AEB" w:rsidRDefault="00D43885">
          <w:r>
            <w:br w:type="page"/>
          </w:r>
          <w:r w:rsidR="002B4AEB">
            <w:rPr>
              <w:noProof/>
            </w:rPr>
            <w:lastRenderedPageBreak/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60566C0E" wp14:editId="616674F6">
                    <wp:simplePos x="0" y="0"/>
                    <wp:positionH relativeFrom="page">
                      <wp:posOffset>1270000</wp:posOffset>
                    </wp:positionH>
                    <wp:positionV relativeFrom="page">
                      <wp:posOffset>2901950</wp:posOffset>
                    </wp:positionV>
                    <wp:extent cx="4794250" cy="1069340"/>
                    <wp:effectExtent l="0" t="0" r="6350" b="5080"/>
                    <wp:wrapNone/>
                    <wp:docPr id="619401358" name="Zone de texte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794250" cy="10693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8B8E06A" w14:textId="1B074575" w:rsidR="002B4AEB" w:rsidRDefault="002B4AEB" w:rsidP="002B4AEB">
                                <w:pPr>
                                  <w:pStyle w:val="Titre"/>
                                </w:pPr>
                                <w:bookmarkStart w:id="0" w:name="_Toc222495203"/>
                                <w:r>
                                  <w:t>Spotify</w:t>
                                </w:r>
                                <w:r>
                                  <w:br/>
                                  <w:t>plan de gouvernance des données</w:t>
                                </w:r>
                                <w:bookmarkEnd w:id="0"/>
                              </w:p>
                              <w:sdt>
                                <w:sdtPr>
                                  <w:id w:val="-1860196912"/>
                                  <w:docPartObj>
                                    <w:docPartGallery w:val="Table of Contents"/>
                                    <w:docPartUnique/>
                                  </w:docPartObj>
                                </w:sdtPr>
                                <w:sdtEndPr>
                                  <w:rPr>
                                    <w:rFonts w:asciiTheme="minorHAnsi" w:eastAsiaTheme="minorEastAsia" w:hAnsiTheme="minorHAnsi" w:cstheme="minorBidi"/>
                                    <w:smallCaps w:val="0"/>
                                    <w:color w:val="auto"/>
                                    <w:sz w:val="22"/>
                                    <w:szCs w:val="22"/>
                                  </w:rPr>
                                </w:sdtEndPr>
                                <w:sdtContent>
                                  <w:p w14:paraId="1EAAA414" w14:textId="419D3F3D" w:rsidR="006B0366" w:rsidRDefault="006B0366">
                                    <w:pPr>
                                      <w:pStyle w:val="En-ttedetabledesmatires"/>
                                    </w:pPr>
                                    <w:r>
                                      <w:t>Table des matières</w:t>
                                    </w:r>
                                  </w:p>
                                  <w:p>
                                    <w:pPr>
                                      <w:pStyle w:val="TM1"/>
                                      <w:tabs>
                                        <w:tab w:val="right" w:leader="dot" w:pos="7440"/>
                                      </w:tabs>
                                      <w:spacing w:after="30"/>
                                      <w:rPr>
                                        <w:noProof/>
                                      </w:rPr>
                                    </w:pPr>
                                    <w:r>
                                      <w:fldChar w:fldCharType="begin"/>
                                    </w:r>
                                    <w:r>
                                      <w:instrText xml:space="preserve"> TOC \o "1-1" \h \z \u </w:instrText>
                                    </w:r>
                                    <w:r>
                                      <w:fldChar w:fldCharType="separate"/>
                                    </w:r>
                                    <w:hyperlink w:anchor="_Toc900101" w:history="1">
                                      <w:r>
                                        <w:rPr>
                                          <w:rStyle w:val="Lienhypertexte"/>
                                          <w:b/>
                                          <w:noProof/>
                                        </w:rPr>
                                        <w:t xml:space="preserve">Rapport d'analyse : maturité data et défis de gouvernance</w:t>
                                      </w:r>
                                      <w:r>
                                        <w:rPr>
                                          <w:noProof/>
                                          <w:webHidden/>
                                        </w:rPr>
                                        <w:tab/>
                                      </w:r>
                                      <w:r>
                                        <w:rPr>
                                          <w:noProof/>
                                          <w:webHidden/>
                                        </w:rPr>
                                        <w:fldChar w:fldCharType="begin"/>
                                      </w:r>
                                      <w:r>
                                        <w:rPr>
                                          <w:noProof/>
                                          <w:webHidden/>
                                        </w:rPr>
                                        <w:instrText xml:space="preserve"> PAGEREF _Toc900101 \h </w:instrText>
                                      </w:r>
                                      <w:r>
                                        <w:rPr>
                                          <w:noProof/>
                                          <w:webHidden/>
                                        </w:rPr>
                                        <w:fldChar w:fldCharType="separate"/>
                                      </w:r>
                                      <w:r>
                                        <w:rPr>
                                          <w:noProof/>
                                          <w:webHidden/>
                                        </w:rPr>
                                        <w:t>2</w:t>
                                      </w:r>
                                      <w:r>
                                        <w:rPr>
                                          <w:noProof/>
                                          <w:webHidden/>
                                        </w:rPr>
                                        <w:fldChar w:fldCharType="end"/>
                                      </w:r>
                                    </w:hyperlink>
                                  </w:p>
                                  <w:p>
                                    <w:pPr>
                                      <w:pStyle w:val="TM2"/>
                                      <w:tabs>
                                        <w:tab w:val="right" w:leader="dot" w:pos="7440"/>
                                      </w:tabs>
                                      <w:spacing w:after="0"/>
                                      <w:rPr>
                                        <w:noProof/>
                                      </w:rPr>
                                    </w:pPr>
                                    <w:hyperlink w:anchor="_Toc900102" w:history="1">
                                      <w:r>
                                        <w:rPr>
                                          <w:rStyle w:val="Lienhypertexte"/>
                                          <w:noProof/>
                                        </w:rPr>
                                        <w:t xml:space="preserve">1.1 L'écosystème de données de Spotify</w:t>
                                      </w:r>
                                      <w:r>
                                        <w:rPr>
                                          <w:noProof/>
                                          <w:webHidden/>
                                        </w:rPr>
                                        <w:tab/>
                                      </w:r>
                                      <w:r>
                                        <w:rPr>
                                          <w:noProof/>
                                          <w:webHidden/>
                                        </w:rPr>
                                        <w:fldChar w:fldCharType="begin"/>
                                      </w:r>
                                      <w:r>
                                        <w:rPr>
                                          <w:noProof/>
                                          <w:webHidden/>
                                        </w:rPr>
                                        <w:instrText xml:space="preserve"> PAGEREF _Toc900102 \h </w:instrText>
                                      </w:r>
                                      <w:r>
                                        <w:rPr>
                                          <w:noProof/>
                                          <w:webHidden/>
                                        </w:rPr>
                                        <w:fldChar w:fldCharType="separate"/>
                                      </w:r>
                                      <w:r>
                                        <w:rPr>
                                          <w:noProof/>
                                          <w:webHidden/>
                                        </w:rPr>
                                        <w:t>2</w:t>
                                      </w:r>
                                      <w:r>
                                        <w:rPr>
                                          <w:noProof/>
                                          <w:webHidden/>
                                        </w:rPr>
                                        <w:fldChar w:fldCharType="end"/>
                                      </w:r>
                                    </w:hyperlink>
                                  </w:p>
                                  <w:p>
                                    <w:pPr>
                                      <w:pStyle w:val="TM2"/>
                                      <w:tabs>
                                        <w:tab w:val="right" w:leader="dot" w:pos="7440"/>
                                      </w:tabs>
                                      <w:spacing w:after="0"/>
                                      <w:rPr>
                                        <w:noProof/>
                                      </w:rPr>
                                    </w:pPr>
                                    <w:hyperlink w:anchor="_Toc900103" w:history="1">
                                      <w:r>
                                        <w:rPr>
                                          <w:rStyle w:val="Lienhypertexte"/>
                                          <w:noProof/>
                                        </w:rPr>
                                        <w:t xml:space="preserve">1.2 Évaluation de la maturité data</w:t>
                                      </w:r>
                                      <w:r>
                                        <w:rPr>
                                          <w:noProof/>
                                          <w:webHidden/>
                                        </w:rPr>
                                        <w:tab/>
                                      </w:r>
                                      <w:r>
                                        <w:rPr>
                                          <w:noProof/>
                                          <w:webHidden/>
                                        </w:rPr>
                                        <w:fldChar w:fldCharType="begin"/>
                                      </w:r>
                                      <w:r>
                                        <w:rPr>
                                          <w:noProof/>
                                          <w:webHidden/>
                                        </w:rPr>
                                        <w:instrText xml:space="preserve"> PAGEREF _Toc900103 \h </w:instrText>
                                      </w:r>
                                      <w:r>
                                        <w:rPr>
                                          <w:noProof/>
                                          <w:webHidden/>
                                        </w:rPr>
                                        <w:fldChar w:fldCharType="separate"/>
                                      </w:r>
                                      <w:r>
                                        <w:rPr>
                                          <w:noProof/>
                                          <w:webHidden/>
                                        </w:rPr>
                                        <w:t>2</w:t>
                                      </w:r>
                                      <w:r>
                                        <w:rPr>
                                          <w:noProof/>
                                          <w:webHidden/>
                                        </w:rPr>
                                        <w:fldChar w:fldCharType="end"/>
                                      </w:r>
                                    </w:hyperlink>
                                  </w:p>
                                  <w:p>
                                    <w:pPr>
                                      <w:pStyle w:val="TM2"/>
                                      <w:tabs>
                                        <w:tab w:val="right" w:leader="dot" w:pos="7440"/>
                                      </w:tabs>
                                      <w:spacing w:after="0"/>
                                      <w:rPr>
                                        <w:noProof/>
                                      </w:rPr>
                                    </w:pPr>
                                    <w:hyperlink w:anchor="_Toc900104" w:history="1">
                                      <w:r>
                                        <w:rPr>
                                          <w:rStyle w:val="Lienhypertexte"/>
                                          <w:noProof/>
                                        </w:rPr>
                                        <w:t xml:space="preserve">1.3 Principaux défis de gouvernance</w:t>
                                      </w:r>
                                      <w:r>
                                        <w:rPr>
                                          <w:noProof/>
                                          <w:webHidden/>
                                        </w:rPr>
                                        <w:tab/>
                                      </w:r>
                                      <w:r>
                                        <w:rPr>
                                          <w:noProof/>
                                          <w:webHidden/>
                                        </w:rPr>
                                        <w:fldChar w:fldCharType="begin"/>
                                      </w:r>
                                      <w:r>
                                        <w:rPr>
                                          <w:noProof/>
                                          <w:webHidden/>
                                        </w:rPr>
                                        <w:instrText xml:space="preserve"> PAGEREF _Toc900104 \h </w:instrText>
                                      </w:r>
                                      <w:r>
                                        <w:rPr>
                                          <w:noProof/>
                                          <w:webHidden/>
                                        </w:rPr>
                                        <w:fldChar w:fldCharType="separate"/>
                                      </w:r>
                                      <w:r>
                                        <w:rPr>
                                          <w:noProof/>
                                          <w:webHidden/>
                                        </w:rPr>
                                        <w:t>3</w:t>
                                      </w:r>
                                      <w:r>
                                        <w:rPr>
                                          <w:noProof/>
                                          <w:webHidden/>
                                        </w:rPr>
                                        <w:fldChar w:fldCharType="end"/>
                                      </w:r>
                                    </w:hyperlink>
                                  </w:p>
                                  <w:p>
                                    <w:pPr>
                                      <w:pStyle w:val="TM2"/>
                                      <w:tabs>
                                        <w:tab w:val="right" w:leader="dot" w:pos="7440"/>
                                      </w:tabs>
                                      <w:spacing w:after="0"/>
                                      <w:rPr>
                                        <w:noProof/>
                                      </w:rPr>
                                    </w:pPr>
                                    <w:hyperlink w:anchor="_Toc900105" w:history="1">
                                      <w:r>
                                        <w:rPr>
                                          <w:rStyle w:val="Lienhypertexte"/>
                                          <w:noProof/>
                                        </w:rPr>
                                        <w:t xml:space="preserve">1.4 Analyse et priorisation des risques</w:t>
                                      </w:r>
                                      <w:r>
                                        <w:rPr>
                                          <w:noProof/>
                                          <w:webHidden/>
                                        </w:rPr>
                                        <w:tab/>
                                      </w:r>
                                      <w:r>
                                        <w:rPr>
                                          <w:noProof/>
                                          <w:webHidden/>
                                        </w:rPr>
                                        <w:fldChar w:fldCharType="begin"/>
                                      </w:r>
                                      <w:r>
                                        <w:rPr>
                                          <w:noProof/>
                                          <w:webHidden/>
                                        </w:rPr>
                                        <w:instrText xml:space="preserve"> PAGEREF _Toc900105 \h </w:instrText>
                                      </w:r>
                                      <w:r>
                                        <w:rPr>
                                          <w:noProof/>
                                          <w:webHidden/>
                                        </w:rPr>
                                        <w:fldChar w:fldCharType="separate"/>
                                      </w:r>
                                      <w:r>
                                        <w:rPr>
                                          <w:noProof/>
                                          <w:webHidden/>
                                        </w:rPr>
                                        <w:t>3</w:t>
                                      </w:r>
                                      <w:r>
                                        <w:rPr>
                                          <w:noProof/>
                                          <w:webHidden/>
                                        </w:rPr>
                                        <w:fldChar w:fldCharType="end"/>
                                      </w:r>
                                    </w:hyperlink>
                                  </w:p>
                                  <w:p w14:paraId="13654578" w14:textId="63B8BFA6" w:rsidR="006B0366" w:rsidRDefault="006B0366">
                                    <w:r>
                                      <w:rPr>
                                        <w:b/>
                                        <w:bCs/>
                                      </w:rPr>
                                      <w:fldChar w:fldCharType="end"/>
                                    </w:r>
                                  </w:p>
                                </w:sdtContent>
                              </w:sdt>
                              <w:p w14:paraId="7A8BE023" w14:textId="77777777" w:rsidR="002B4AEB" w:rsidRPr="002B4AEB" w:rsidRDefault="002B4AEB" w:rsidP="002B4AEB">
                                <w:pPr>
                                  <w:pStyle w:val="Titre1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0566C0E" id="_x0000_s1031" type="#_x0000_t202" style="position:absolute;margin-left:100pt;margin-top:228.5pt;width:377.5pt;height:84.2p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" filled="f" stroked="f" strokeweight=".5pt">
                    <v:textbox style="mso-fit-shape-to-text:t" inset="0,0,0,0">
                      <w:txbxContent>
                        <w:p w14:paraId="68B8E06A" w14:textId="1B074575" w:rsidR="002B4AEB" w:rsidRDefault="002B4AEB" w:rsidP="002B4AEB">
                          <w:pPr>
                            <w:pStyle w:val="Titre"/>
                          </w:pPr>
                          <w:bookmarkStart w:id="1" w:name="_Toc222495203"/>
                          <w:r>
                            <w:t>Spotify</w:t>
                          </w:r>
                          <w:r>
                            <w:br/>
                            <w:t>plan de gouvernance des données</w:t>
                          </w:r>
                          <w:bookmarkEnd w:id="1"/>
                        </w:p>
                        <w:sdt>
                          <w:sdtPr>
                            <w:id w:val="-1860196912"/>
                            <w:docPartObj>
                              <w:docPartGallery w:val="Table of Contents"/>
                              <w:docPartUnique/>
                            </w:docPartObj>
                          </w:sdtPr>
                          <w:sdtEndPr>
                            <w:rPr>
                              <w:rFonts w:asciiTheme="minorHAnsi" w:eastAsiaTheme="minorEastAsia" w:hAnsiTheme="minorHAnsi" w:cstheme="minorBidi"/>
                              <w:smallCaps w:val="0"/>
                              <w:color w:val="auto"/>
                              <w:sz w:val="22"/>
                              <w:szCs w:val="22"/>
                            </w:rPr>
                          </w:sdtEndPr>
                          <w:sdtContent>
                            <w:p w14:paraId="1EAAA414" w14:textId="419D3F3D" w:rsidR="006B0366" w:rsidRDefault="006B0366">
                              <w:pPr>
                                <w:pStyle w:val="En-ttedetabledesmatires"/>
                              </w:pPr>
                              <w:r>
                                <w:t>Table des matières</w:t>
                              </w:r>
                            </w:p>
                            <w:p>
                              <w:pPr>
                                <w:pStyle w:val="TM1"/>
                                <w:tabs>
                                  <w:tab w:val="right" w:leader="dot" w:pos="7440"/>
                                </w:tabs>
                                <w:spacing w:after="30"/>
                                <w:rPr>
                                  <w:noProof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TOC \o "1-1" \h \z \u </w:instrText>
                              </w:r>
                              <w:r>
                                <w:fldChar w:fldCharType="separate"/>
                              </w:r>
                              <w:hyperlink w:anchor="_Toc900101" w:history="1">
                                <w:r>
                                  <w:rPr>
                                    <w:rStyle w:val="Lienhypertexte"/>
                                    <w:b/>
                                    <w:noProof/>
                                  </w:rPr>
                                  <w:t xml:space="preserve">Rapport d'analyse : maturité data et défis de gouvernance</w:t>
                                </w:r>
                                <w:r>
                                  <w:rPr>
                                    <w:noProof/>
                                    <w:webHidden/>
                                  </w:rPr>
                                  <w:tab/>
                                </w:r>
                                <w:r>
                                  <w:rPr>
                                    <w:noProof/>
                                    <w:webHidden/>
                                  </w:rPr>
                                  <w:fldChar w:fldCharType="begin"/>
                                </w:r>
                                <w:r>
                                  <w:rPr>
                                    <w:noProof/>
                                    <w:webHidden/>
                                  </w:rPr>
                                  <w:instrText xml:space="preserve"> PAGEREF _Toc900101 \h </w:instrText>
                                </w:r>
                                <w:r>
                                  <w:rPr>
                                    <w:noProof/>
                                    <w:webHidden/>
                                  </w:rPr>
                                  <w:fldChar w:fldCharType="separate"/>
                                </w:r>
                                <w:r>
                                  <w:rPr>
                                    <w:noProof/>
                                    <w:webHidden/>
                                  </w:rPr>
                                  <w:t>2</w:t>
                                </w:r>
                                <w:r>
                                  <w:rPr>
                                    <w:noProof/>
                                    <w:webHidden/>
                                  </w:rPr>
                                  <w:fldChar w:fldCharType="end"/>
                                </w:r>
                              </w:hyperlink>
                            </w:p>
                            <w:p>
                              <w:pPr>
                                <w:pStyle w:val="TM2"/>
                                <w:tabs>
                                  <w:tab w:val="right" w:leader="dot" w:pos="7440"/>
                                </w:tabs>
                                <w:spacing w:after="0"/>
                                <w:rPr>
                                  <w:noProof/>
                                </w:rPr>
                              </w:pPr>
                              <w:hyperlink w:anchor="_Toc900102" w:history="1">
                                <w:r>
                                  <w:rPr>
                                    <w:rStyle w:val="Lienhypertexte"/>
                                    <w:noProof/>
                                  </w:rPr>
                                  <w:t xml:space="preserve">1.1 L'écosystème de données de Spotify</w:t>
                                </w:r>
                                <w:r>
                                  <w:rPr>
                                    <w:noProof/>
                                    <w:webHidden/>
                                  </w:rPr>
                                  <w:tab/>
                                </w:r>
                                <w:r>
                                  <w:rPr>
                                    <w:noProof/>
                                    <w:webHidden/>
                                  </w:rPr>
                                  <w:fldChar w:fldCharType="begin"/>
                                </w:r>
                                <w:r>
                                  <w:rPr>
                                    <w:noProof/>
                                    <w:webHidden/>
                                  </w:rPr>
                                  <w:instrText xml:space="preserve"> PAGEREF _Toc900102 \h </w:instrText>
                                </w:r>
                                <w:r>
                                  <w:rPr>
                                    <w:noProof/>
                                    <w:webHidden/>
                                  </w:rPr>
                                  <w:fldChar w:fldCharType="separate"/>
                                </w:r>
                                <w:r>
                                  <w:rPr>
                                    <w:noProof/>
                                    <w:webHidden/>
                                  </w:rPr>
                                  <w:t>2</w:t>
                                </w:r>
                                <w:r>
                                  <w:rPr>
                                    <w:noProof/>
                                    <w:webHidden/>
                                  </w:rPr>
                                  <w:fldChar w:fldCharType="end"/>
                                </w:r>
                              </w:hyperlink>
                            </w:p>
                            <w:p>
                              <w:pPr>
                                <w:pStyle w:val="TM2"/>
                                <w:tabs>
                                  <w:tab w:val="right" w:leader="dot" w:pos="7440"/>
                                </w:tabs>
                                <w:spacing w:after="0"/>
                                <w:rPr>
                                  <w:noProof/>
                                </w:rPr>
                              </w:pPr>
                              <w:hyperlink w:anchor="_Toc900103" w:history="1">
                                <w:r>
                                  <w:rPr>
                                    <w:rStyle w:val="Lienhypertexte"/>
                                    <w:noProof/>
                                  </w:rPr>
                                  <w:t xml:space="preserve">1.2 Évaluation de la maturité data</w:t>
                                </w:r>
                                <w:r>
                                  <w:rPr>
                                    <w:noProof/>
                                    <w:webHidden/>
                                  </w:rPr>
                                  <w:tab/>
                                </w:r>
                                <w:r>
                                  <w:rPr>
                                    <w:noProof/>
                                    <w:webHidden/>
                                  </w:rPr>
                                  <w:fldChar w:fldCharType="begin"/>
                                </w:r>
                                <w:r>
                                  <w:rPr>
                                    <w:noProof/>
                                    <w:webHidden/>
                                  </w:rPr>
                                  <w:instrText xml:space="preserve"> PAGEREF _Toc900103 \h </w:instrText>
                                </w:r>
                                <w:r>
                                  <w:rPr>
                                    <w:noProof/>
                                    <w:webHidden/>
                                  </w:rPr>
                                  <w:fldChar w:fldCharType="separate"/>
                                </w:r>
                                <w:r>
                                  <w:rPr>
                                    <w:noProof/>
                                    <w:webHidden/>
                                  </w:rPr>
                                  <w:t>2</w:t>
                                </w:r>
                                <w:r>
                                  <w:rPr>
                                    <w:noProof/>
                                    <w:webHidden/>
                                  </w:rPr>
                                  <w:fldChar w:fldCharType="end"/>
                                </w:r>
                              </w:hyperlink>
                            </w:p>
                            <w:p>
                              <w:pPr>
                                <w:pStyle w:val="TM2"/>
                                <w:tabs>
                                  <w:tab w:val="right" w:leader="dot" w:pos="7440"/>
                                </w:tabs>
                                <w:spacing w:after="0"/>
                                <w:rPr>
                                  <w:noProof/>
                                </w:rPr>
                              </w:pPr>
                              <w:hyperlink w:anchor="_Toc900104" w:history="1">
                                <w:r>
                                  <w:rPr>
                                    <w:rStyle w:val="Lienhypertexte"/>
                                    <w:noProof/>
                                  </w:rPr>
                                  <w:t xml:space="preserve">1.3 Principaux défis de gouvernance</w:t>
                                </w:r>
                                <w:r>
                                  <w:rPr>
                                    <w:noProof/>
                                    <w:webHidden/>
                                  </w:rPr>
                                  <w:tab/>
                                </w:r>
                                <w:r>
                                  <w:rPr>
                                    <w:noProof/>
                                    <w:webHidden/>
                                  </w:rPr>
                                  <w:fldChar w:fldCharType="begin"/>
                                </w:r>
                                <w:r>
                                  <w:rPr>
                                    <w:noProof/>
                                    <w:webHidden/>
                                  </w:rPr>
                                  <w:instrText xml:space="preserve"> PAGEREF _Toc900104 \h </w:instrText>
                                </w:r>
                                <w:r>
                                  <w:rPr>
                                    <w:noProof/>
                                    <w:webHidden/>
                                  </w:rPr>
                                  <w:fldChar w:fldCharType="separate"/>
                                </w:r>
                                <w:r>
                                  <w:rPr>
                                    <w:noProof/>
                                    <w:webHidden/>
                                  </w:rPr>
                                  <w:t>3</w:t>
                                </w:r>
                                <w:r>
                                  <w:rPr>
                                    <w:noProof/>
                                    <w:webHidden/>
                                  </w:rPr>
                                  <w:fldChar w:fldCharType="end"/>
                                </w:r>
                              </w:hyperlink>
                            </w:p>
                            <w:p>
                              <w:pPr>
                                <w:pStyle w:val="TM2"/>
                                <w:tabs>
                                  <w:tab w:val="right" w:leader="dot" w:pos="7440"/>
                                </w:tabs>
                                <w:spacing w:after="0"/>
                                <w:rPr>
                                  <w:noProof/>
                                </w:rPr>
                              </w:pPr>
                              <w:hyperlink w:anchor="_Toc900105" w:history="1">
                                <w:r>
                                  <w:rPr>
                                    <w:rStyle w:val="Lienhypertexte"/>
                                    <w:noProof/>
                                  </w:rPr>
                                  <w:t xml:space="preserve">1.4 Analyse et priorisation des risques</w:t>
                                </w:r>
                                <w:r>
                                  <w:rPr>
                                    <w:noProof/>
                                    <w:webHidden/>
                                  </w:rPr>
                                  <w:tab/>
                                </w:r>
                                <w:r>
                                  <w:rPr>
                                    <w:noProof/>
                                    <w:webHidden/>
                                  </w:rPr>
                                  <w:fldChar w:fldCharType="begin"/>
                                </w:r>
                                <w:r>
                                  <w:rPr>
                                    <w:noProof/>
                                    <w:webHidden/>
                                  </w:rPr>
                                  <w:instrText xml:space="preserve"> PAGEREF _Toc900105 \h </w:instrText>
                                </w:r>
                                <w:r>
                                  <w:rPr>
                                    <w:noProof/>
                                    <w:webHidden/>
                                  </w:rPr>
                                  <w:fldChar w:fldCharType="separate"/>
                                </w:r>
                                <w:r>
                                  <w:rPr>
                                    <w:noProof/>
                                    <w:webHidden/>
                                  </w:rPr>
                                  <w:t>3</w:t>
                                </w:r>
                                <w:r>
                                  <w:rPr>
                                    <w:noProof/>
                                    <w:webHidden/>
                                  </w:rPr>
                                  <w:fldChar w:fldCharType="end"/>
                                </w:r>
                              </w:hyperlink>
                            </w:p>
                            <w:p w14:paraId="13654578" w14:textId="63B8BFA6" w:rsidR="006B0366" w:rsidRDefault="006B0366">
                              <w:r>
                                <w:rPr>
                                  <w:b/>
                                  <w:bCs/>
                                </w:rPr>
                                <w:fldChar w:fldCharType="end"/>
                              </w:r>
                            </w:p>
                          </w:sdtContent>
                        </w:sdt>
                        <w:p w14:paraId="7A8BE023" w14:textId="77777777" w:rsidR="002B4AEB" w:rsidRPr="002B4AEB" w:rsidRDefault="002B4AEB" w:rsidP="002B4AEB">
                          <w:pPr>
                            <w:pStyle w:val="Titre1"/>
                          </w:pP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="002B4AEB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7456" behindDoc="0" locked="0" layoutInCell="1" allowOverlap="1" wp14:anchorId="4BB84B53" wp14:editId="7B201B1C">
                    <wp:simplePos x="0" y="0"/>
                    <wp:positionH relativeFrom="margin">
                      <wp:posOffset>5582920</wp:posOffset>
                    </wp:positionH>
                    <wp:positionV relativeFrom="paragraph">
                      <wp:posOffset>1430655</wp:posOffset>
                    </wp:positionV>
                    <wp:extent cx="179705" cy="1435100"/>
                    <wp:effectExtent l="0" t="0" r="0" b="0"/>
                    <wp:wrapNone/>
                    <wp:docPr id="234767525" name="Rectangle 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79705" cy="1435100"/>
                            </a:xfrm>
                            <a:prstGeom prst="rect">
                              <a:avLst/>
                            </a:prstGeom>
                            <a:solidFill>
                              <a:schemeClr val="accent4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</wp:anchor>
                </w:drawing>
              </mc:Choice>
              <mc:Fallback>
                <w:pict>
                  <v:rect w14:anchorId="2D74C647" id="Rectangle 5" o:spid="_x0000_s1026" style="position:absolute;margin-left:439.6pt;margin-top:112.65pt;width:14.15pt;height:113pt;z-index:25166745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" fillcolor="#ffdb79 [3207]" stroked="f" strokeweight="1pt">
                    <w10:wrap anchorx="margin"/>
                  </v:rect>
                </w:pict>
              </mc:Fallback>
            </mc:AlternateContent>
          </w:r>
          <w:r w:rsidR="002B4AEB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5408" behindDoc="0" locked="0" layoutInCell="1" allowOverlap="1" wp14:anchorId="1C954B77" wp14:editId="6A6BC544">
                    <wp:simplePos x="0" y="0"/>
                    <wp:positionH relativeFrom="column">
                      <wp:posOffset>5583555</wp:posOffset>
                    </wp:positionH>
                    <wp:positionV relativeFrom="paragraph">
                      <wp:posOffset>-4445</wp:posOffset>
                    </wp:positionV>
                    <wp:extent cx="179705" cy="1435100"/>
                    <wp:effectExtent l="0" t="0" r="0" b="0"/>
                    <wp:wrapNone/>
                    <wp:docPr id="2062065042" name="Rectangle 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79705" cy="143510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</wp:anchor>
                </w:drawing>
              </mc:Choice>
              <mc:Fallback>
                <w:pict>
                  <v:rect w14:anchorId="06951119" id="Rectangle 5" o:spid="_x0000_s1026" style="position:absolute;margin-left:439.65pt;margin-top:-.35pt;width:14.15pt;height:113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" fillcolor="#3fdad2 [3204]" stroked="f" strokeweight="1pt"/>
                </w:pict>
              </mc:Fallback>
            </mc:AlternateContent>
          </w:r>
          <w:r w:rsidR="002B4AEB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3360" behindDoc="1" locked="0" layoutInCell="1" allowOverlap="1" wp14:anchorId="02BC94BB" wp14:editId="1728C46A">
                    <wp:simplePos x="0" y="0"/>
                    <wp:positionH relativeFrom="margin">
                      <wp:align>right</wp:align>
                    </wp:positionH>
                    <wp:positionV relativeFrom="paragraph">
                      <wp:posOffset>-4445</wp:posOffset>
                    </wp:positionV>
                    <wp:extent cx="180000" cy="9125712"/>
                    <wp:effectExtent l="0" t="0" r="0" b="0"/>
                    <wp:wrapNone/>
                    <wp:docPr id="1720549891" name="Rectangle 27049426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80000" cy="9125712"/>
                            </a:xfrm>
                            <a:prstGeom prst="rect">
                              <a:avLst/>
                            </a:pr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</wp:anchor>
                </w:drawing>
              </mc:Choice>
              <mc:Fallback>
                <w:pict>
                  <v:rect w14:anchorId="31BB000F" id="Rectangle 270494262" o:spid="_x0000_s1026" style="position:absolute;margin-left:-37.05pt;margin-top:-.35pt;width:14.15pt;height:718.55pt;z-index:-251653120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" fillcolor="#1a7197 [3215]" stroked="f" strokeweight="1pt">
                    <w10:wrap anchorx="margin"/>
                  </v:rect>
                </w:pict>
              </mc:Fallback>
            </mc:AlternateContent>
          </w:r>
          <w:r w:rsidR="002B4AEB">
            <w:br w:type="page"/>
          </w:r>
        </w:p>
        <w:p w14:paraId="34FBFF88" w14:textId="0360C6BB" w:rsidR="00D43885" w:rsidRDefault="00000000">
          <w:pPr>
            <w:rPr>
              <w:rFonts w:asciiTheme="majorHAnsi" w:eastAsiaTheme="majorEastAsia" w:hAnsiTheme="majorHAnsi" w:cstheme="majorBidi"/>
              <w:b/>
              <w:smallCaps/>
              <w:color w:val="135470" w:themeColor="text2" w:themeShade="BF"/>
              <w:spacing w:val="5"/>
              <w:sz w:val="52"/>
              <w:szCs w:val="52"/>
            </w:rPr>
          </w:pPr>
        </w:p>
      </w:sdtContent>
    </w:sdt>
    <w:p>
      <w:pPr>
        <w:pStyle w:val="Titre"/>
      </w:pPr>
      <w:bookmarkStart w:id="101" w:name="_Toc900101"/>
      <w:r>
        <w:t>Rapport d'analyse : maturité data et défis de gouvernance</w:t>
      </w:r>
      <w:bookmarkEnd w:id="101"/>
    </w:p>
    <w:p>
      <w:pPr>
        <w:pStyle w:val="Titre1"/>
        <w:spacing w:before="220" w:after="80"/>
      </w:pPr>
      <w:bookmarkStart w:id="102" w:name="_Toc900102"/>
      <w:r>
        <w:t>1.1 L'écosystème de données de Spotify</w:t>
      </w:r>
      <w:bookmarkEnd w:id="102"/>
    </w:p>
    <w:p>
      <w:pPr>
        <w:keepNext/>
        <w:spacing w:after="80" w:before="0"/>
        <w:jc w:val="both"/>
      </w:pPr>
      <w:r>
        <w:rPr>
          <w:sz w:val="20"/>
        </w:rPr>
        <w:t xml:space="preserve">On identifie d'abord </w:t>
      </w:r>
      <w:r>
        <w:rPr>
          <w:b/>
          <w:sz w:val="20"/>
        </w:rPr>
        <w:t>quelles données</w:t>
      </w:r>
      <w:r>
        <w:rPr>
          <w:sz w:val="20"/>
        </w:rPr>
        <w:t xml:space="preserve"> Spotify traite et </w:t>
      </w:r>
      <w:r>
        <w:rPr>
          <w:b/>
          <w:sz w:val="20"/>
        </w:rPr>
        <w:t>à quels risques</w:t>
      </w:r>
      <w:r>
        <w:rPr>
          <w:sz w:val="20"/>
        </w:rPr>
        <w:t xml:space="preserve"> elles l'exposent ; ce découpage sert de base à la classification de la politique.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C9D6DC"/>
          <w:left w:val="single" w:sz="4" w:space="0" w:color="C9D6DC"/>
          <w:bottom w:val="single" w:sz="4" w:space="0" w:color="C9D6DC"/>
          <w:right w:val="single" w:sz="4" w:space="0" w:color="C9D6DC"/>
          <w:insideH w:val="single" w:sz="4" w:space="0" w:color="C9D6DC"/>
          <w:insideV w:val="single" w:sz="4" w:space="0" w:color="C9D6DC"/>
        </w:tblBorders>
        <w:tblCellMar>
          <w:top w:w="30" w:type="dxa"/>
          <w:left w:w="80" w:type="dxa"/>
          <w:bottom w:w="30" w:type="dxa"/>
          <w:right w:w="80" w:type="dxa"/>
        </w:tblCellMar>
      </w:tblPr>
      <w:tblGrid>
        <w:gridCol w:w="2041"/>
        <w:gridCol w:w="2835"/>
        <w:gridCol w:w="1701"/>
        <w:gridCol w:w="2494"/>
      </w:tblGrid>
      <w:tr>
        <w:trPr>
          <w:tblHeader/>
        </w:trPr>
        <w:tc>
          <w:tcPr>
            <w:tcW w:type="dxa" w:w="2041"/>
            <w:shd w:val="clear" w:color="auto" w:fill="1A7197"/>
          </w:tcPr>
          <w:p>
            <w:pPr>
              <w:keepNext/>
              <w:spacing w:after="20" w:before="0" w:line="240" w:lineRule="auto"/>
            </w:pPr>
            <w:r/>
            <w:r>
              <w:rPr>
                <w:b/>
                <w:color w:val="FFFFFF"/>
                <w:sz w:val="16"/>
              </w:rPr>
              <w:t>Famille de données</w:t>
            </w:r>
          </w:p>
        </w:tc>
        <w:tc>
          <w:tcPr>
            <w:tcW w:type="dxa" w:w="2835"/>
            <w:shd w:val="clear" w:color="auto" w:fill="1A7197"/>
          </w:tcPr>
          <w:p>
            <w:pPr>
              <w:keepNext/>
              <w:spacing w:after="20" w:before="0" w:line="240" w:lineRule="auto"/>
            </w:pPr>
            <w:r/>
            <w:r>
              <w:rPr>
                <w:b/>
                <w:color w:val="FFFFFF"/>
                <w:sz w:val="16"/>
              </w:rPr>
              <w:t>Exemples</w:t>
            </w:r>
          </w:p>
        </w:tc>
        <w:tc>
          <w:tcPr>
            <w:tcW w:type="dxa" w:w="1701"/>
            <w:shd w:val="clear" w:color="auto" w:fill="1A7197"/>
          </w:tcPr>
          <w:p>
            <w:pPr>
              <w:keepNext/>
              <w:spacing w:after="20" w:before="0" w:line="240" w:lineRule="auto"/>
            </w:pPr>
            <w:r/>
            <w:r>
              <w:rPr>
                <w:b/>
                <w:color w:val="FFFFFF"/>
                <w:sz w:val="16"/>
              </w:rPr>
              <w:t>Sensibilité</w:t>
            </w:r>
          </w:p>
        </w:tc>
        <w:tc>
          <w:tcPr>
            <w:tcW w:type="dxa" w:w="2494"/>
            <w:shd w:val="clear" w:color="auto" w:fill="1A7197"/>
          </w:tcPr>
          <w:p>
            <w:pPr>
              <w:keepNext/>
              <w:spacing w:after="20" w:before="0" w:line="240" w:lineRule="auto"/>
            </w:pPr>
            <w:r/>
            <w:r>
              <w:rPr>
                <w:b/>
                <w:color w:val="FFFFFF"/>
                <w:sz w:val="16"/>
              </w:rPr>
              <w:t>Régulation et risque principal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E8F4FF"/>
          </w:tcPr>
          <w:p>
            <w:pPr>
              <w:keepNext/>
              <w:spacing w:after="20" w:before="0" w:line="240" w:lineRule="auto"/>
            </w:pPr>
            <w:r/>
            <w:r>
              <w:rPr>
                <w:b/>
                <w:sz w:val="16"/>
              </w:rPr>
              <w:t>Usage, profil, abonnement</w:t>
            </w:r>
          </w:p>
        </w:tc>
        <w:tc>
          <w:tcPr>
            <w:tcW w:type="dxa" w:w="2835"/>
          </w:tcPr>
          <w:p>
            <w:pPr>
              <w:keepNext/>
              <w:spacing w:after="20" w:before="0" w:line="240" w:lineRule="auto"/>
            </w:pPr>
            <w:r/>
            <w:r>
              <w:rPr>
                <w:sz w:val="16"/>
              </w:rPr>
              <w:t>Écoutes, playlists, recherches, identité, pays</w:t>
            </w:r>
          </w:p>
        </w:tc>
        <w:tc>
          <w:tcPr>
            <w:tcW w:type="dxa" w:w="1701"/>
          </w:tcPr>
          <w:p>
            <w:pPr>
              <w:keepNext/>
              <w:spacing w:after="20" w:before="0" w:line="240" w:lineRule="auto"/>
            </w:pPr>
            <w:r/>
            <w:r>
              <w:rPr>
                <w:sz w:val="16"/>
              </w:rPr>
              <w:t>Personnelle</w:t>
            </w:r>
          </w:p>
        </w:tc>
        <w:tc>
          <w:tcPr>
            <w:tcW w:type="dxa" w:w="2494"/>
          </w:tcPr>
          <w:p>
            <w:pPr>
              <w:keepNext/>
              <w:spacing w:after="20" w:before="0" w:line="240" w:lineRule="auto"/>
            </w:pPr>
            <w:r/>
            <w:r>
              <w:rPr>
                <w:sz w:val="16"/>
              </w:rPr>
              <w:t>RGPD / CCPA : consentement, droits, transferts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E8F4FF"/>
          </w:tcPr>
          <w:p>
            <w:pPr>
              <w:keepNext/>
              <w:spacing w:after="20" w:before="0" w:line="240" w:lineRule="auto"/>
            </w:pPr>
            <w:r/>
            <w:r>
              <w:rPr>
                <w:b/>
                <w:sz w:val="16"/>
              </w:rPr>
              <w:t>Paiement et facturation</w:t>
            </w:r>
          </w:p>
        </w:tc>
        <w:tc>
          <w:tcPr>
            <w:tcW w:type="dxa" w:w="2835"/>
          </w:tcPr>
          <w:p>
            <w:pPr>
              <w:keepNext/>
              <w:spacing w:after="20" w:before="0" w:line="240" w:lineRule="auto"/>
            </w:pPr>
            <w:r/>
            <w:r>
              <w:rPr>
                <w:sz w:val="16"/>
              </w:rPr>
              <w:t>Données de carte, historique de facturation</w:t>
            </w:r>
          </w:p>
        </w:tc>
        <w:tc>
          <w:tcPr>
            <w:tcW w:type="dxa" w:w="1701"/>
          </w:tcPr>
          <w:p>
            <w:pPr>
              <w:keepNext/>
              <w:spacing w:after="20" w:before="0" w:line="240" w:lineRule="auto"/>
            </w:pPr>
            <w:r/>
            <w:r>
              <w:rPr>
                <w:sz w:val="16"/>
              </w:rPr>
              <w:t>Très élevée</w:t>
            </w:r>
          </w:p>
        </w:tc>
        <w:tc>
          <w:tcPr>
            <w:tcW w:type="dxa" w:w="2494"/>
          </w:tcPr>
          <w:p>
            <w:pPr>
              <w:keepNext/>
              <w:spacing w:after="20" w:before="0" w:line="240" w:lineRule="auto"/>
            </w:pPr>
            <w:r/>
            <w:r>
              <w:rPr>
                <w:sz w:val="16"/>
              </w:rPr>
              <w:t>PCI-DSS : chiffrement, accès restreint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E8F4FF"/>
          </w:tcPr>
          <w:p>
            <w:pPr>
              <w:keepNext/>
              <w:spacing w:after="20" w:before="0" w:line="240" w:lineRule="auto"/>
            </w:pPr>
            <w:r/>
            <w:r>
              <w:rPr>
                <w:b/>
                <w:sz w:val="16"/>
              </w:rPr>
              <w:t>Marketing et publicité</w:t>
            </w:r>
          </w:p>
        </w:tc>
        <w:tc>
          <w:tcPr>
            <w:tcW w:type="dxa" w:w="2835"/>
          </w:tcPr>
          <w:p>
            <w:pPr>
              <w:keepNext/>
              <w:spacing w:after="20" w:before="0" w:line="240" w:lineRule="auto"/>
            </w:pPr>
            <w:r/>
            <w:r>
              <w:rPr>
                <w:sz w:val="16"/>
              </w:rPr>
              <w:t>Engagement, segments, conversion, consentements</w:t>
            </w:r>
          </w:p>
        </w:tc>
        <w:tc>
          <w:tcPr>
            <w:tcW w:type="dxa" w:w="1701"/>
          </w:tcPr>
          <w:p>
            <w:pPr>
              <w:keepNext/>
              <w:spacing w:after="20" w:before="0" w:line="240" w:lineRule="auto"/>
            </w:pPr>
            <w:r/>
            <w:r>
              <w:rPr>
                <w:sz w:val="16"/>
              </w:rPr>
              <w:t>Personnelle</w:t>
            </w:r>
          </w:p>
        </w:tc>
        <w:tc>
          <w:tcPr>
            <w:tcW w:type="dxa" w:w="2494"/>
          </w:tcPr>
          <w:p>
            <w:pPr>
              <w:keepNext/>
              <w:spacing w:after="20" w:before="0" w:line="240" w:lineRule="auto"/>
            </w:pPr>
            <w:r/>
            <w:r>
              <w:rPr>
                <w:sz w:val="16"/>
              </w:rPr>
              <w:t>RGPD / CCPA : opt-out, ciblage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E8F4FF"/>
          </w:tcPr>
          <w:p>
            <w:pPr>
              <w:keepNext/>
              <w:spacing w:after="20" w:before="0" w:line="240" w:lineRule="auto"/>
            </w:pPr>
            <w:r/>
            <w:r>
              <w:rPr>
                <w:b/>
                <w:sz w:val="16"/>
              </w:rPr>
              <w:t>Métadonnées de contenu</w:t>
            </w:r>
          </w:p>
        </w:tc>
        <w:tc>
          <w:tcPr>
            <w:tcW w:type="dxa" w:w="2835"/>
          </w:tcPr>
          <w:p>
            <w:pPr>
              <w:keepNext/>
              <w:spacing w:after="20" w:before="0" w:line="240" w:lineRule="auto"/>
            </w:pPr>
            <w:r/>
            <w:r>
              <w:rPr>
                <w:sz w:val="16"/>
              </w:rPr>
              <w:t>Titres, artistes, podcasts, droits</w:t>
            </w:r>
          </w:p>
        </w:tc>
        <w:tc>
          <w:tcPr>
            <w:tcW w:type="dxa" w:w="1701"/>
          </w:tcPr>
          <w:p>
            <w:pPr>
              <w:keepNext/>
              <w:spacing w:after="20" w:before="0" w:line="240" w:lineRule="auto"/>
            </w:pPr>
            <w:r/>
            <w:r>
              <w:rPr>
                <w:sz w:val="16"/>
              </w:rPr>
              <w:t>Interne</w:t>
            </w:r>
          </w:p>
        </w:tc>
        <w:tc>
          <w:tcPr>
            <w:tcW w:type="dxa" w:w="2494"/>
          </w:tcPr>
          <w:p>
            <w:pPr>
              <w:keepNext/>
              <w:spacing w:after="20" w:before="0" w:line="240" w:lineRule="auto"/>
            </w:pPr>
            <w:r/>
            <w:r>
              <w:rPr>
                <w:sz w:val="16"/>
              </w:rPr>
              <w:t>Qualité, référentiel unique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E8F4FF"/>
          </w:tcPr>
          <w:p>
            <w:pPr>
              <w:spacing w:after="20" w:before="0" w:line="240" w:lineRule="auto"/>
            </w:pPr>
            <w:r/>
            <w:r>
              <w:rPr>
                <w:b/>
                <w:sz w:val="16"/>
              </w:rPr>
              <w:t>Modèles d'IA</w:t>
            </w:r>
          </w:p>
        </w:tc>
        <w:tc>
          <w:tcPr>
            <w:tcW w:type="dxa" w:w="2835"/>
          </w:tcPr>
          <w:p>
            <w:pPr>
              <w:spacing w:after="20" w:before="0" w:line="240" w:lineRule="auto"/>
            </w:pPr>
            <w:r/>
            <w:r>
              <w:rPr>
                <w:sz w:val="16"/>
              </w:rPr>
              <w:t>Recommandation, personnalisation</w:t>
            </w:r>
          </w:p>
        </w:tc>
        <w:tc>
          <w:tcPr>
            <w:tcW w:type="dxa" w:w="1701"/>
          </w:tcPr>
          <w:p>
            <w:pPr>
              <w:spacing w:after="20" w:before="0" w:line="240" w:lineRule="auto"/>
            </w:pPr>
            <w:r/>
            <w:r>
              <w:rPr>
                <w:sz w:val="16"/>
              </w:rPr>
              <w:t>Dérivée de données personnelles</w:t>
            </w:r>
          </w:p>
        </w:tc>
        <w:tc>
          <w:tcPr>
            <w:tcW w:type="dxa" w:w="2494"/>
          </w:tcPr>
          <w:p>
            <w:pPr>
              <w:spacing w:after="20" w:before="0" w:line="240" w:lineRule="auto"/>
            </w:pPr>
            <w:r/>
            <w:r>
              <w:rPr>
                <w:sz w:val="16"/>
              </w:rPr>
              <w:t>AI Act, RGPD, biais</w:t>
            </w:r>
          </w:p>
        </w:tc>
      </w:tr>
    </w:tbl>
    <w:p>
      <w:pPr>
        <w:spacing w:after="80" w:before="0" w:line="80" w:lineRule="exact"/>
      </w:pPr>
    </w:p>
    <w:p>
      <w:pPr>
        <w:pStyle w:val="Titre1"/>
        <w:spacing w:before="220" w:after="80"/>
      </w:pPr>
      <w:bookmarkStart w:id="103" w:name="_Toc900103"/>
      <w:r>
        <w:t>1.2 Évaluation de la maturité data</w:t>
      </w:r>
      <w:bookmarkEnd w:id="103"/>
    </w:p>
    <w:p>
      <w:pPr>
        <w:keepNext/>
        <w:spacing w:after="80" w:before="0"/>
        <w:jc w:val="both"/>
      </w:pPr>
      <w:r>
        <w:rPr>
          <w:sz w:val="20"/>
        </w:rPr>
        <w:t>Évaluation sur le modèle Gartner du cours Jedha (</w:t>
      </w:r>
      <w:r>
        <w:rPr>
          <w:b/>
          <w:sz w:val="20"/>
        </w:rPr>
        <w:t>Aware → Reactive → Proactive → Managed → Effective</w:t>
      </w:r>
      <w:r>
        <w:rPr>
          <w:sz w:val="20"/>
        </w:rPr>
        <w:t xml:space="preserve">), sur </w:t>
      </w:r>
      <w:r>
        <w:rPr>
          <w:b/>
          <w:sz w:val="20"/>
        </w:rPr>
        <w:t>9 dimensions</w:t>
      </w:r>
      <w:r>
        <w:rPr>
          <w:sz w:val="20"/>
        </w:rPr>
        <w:t xml:space="preserve"> notées de 1 (Aware) à 5 (Effective), à partir des faits du business case.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762"/>
        <w:gridCol w:w="4309"/>
      </w:tblGrid>
      <w:tr>
        <w:tc>
          <w:tcPr>
            <w:tcW w:type="dxa" w:w="4762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51999" cy="2844565"/>
                  <wp:docPr id="2062065043" name="Picture 20620650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adar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1999" cy="284456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b/>
                <w:color w:val="22B0A8"/>
                <w:sz w:val="16"/>
              </w:rPr>
              <w:t>Figure 1 – Positionnement actuel et cible à 24 mois (échelle 1 à 5, estimation)</w:t>
            </w:r>
          </w:p>
        </w:tc>
        <w:tc>
          <w:tcPr>
            <w:tcW w:type="dxa" w:w="4309"/>
          </w:tcPr>
          <w:p>
            <w:pPr>
              <w:spacing w:after="100"/>
              <w:jc w:val="both"/>
            </w:pPr>
            <w:r>
              <w:rPr>
                <w:b/>
                <w:sz w:val="19"/>
              </w:rPr>
              <w:t>Lecture.</w:t>
            </w:r>
            <w:r>
              <w:rPr>
                <w:sz w:val="19"/>
              </w:rPr>
              <w:t xml:space="preserve"> Niveau moyen </w:t>
            </w:r>
            <w:r>
              <w:rPr>
                <w:b/>
                <w:sz w:val="19"/>
              </w:rPr>
              <w:t>2,8 / 5</w:t>
            </w:r>
            <w:r>
              <w:rPr>
                <w:sz w:val="19"/>
              </w:rPr>
              <w:t xml:space="preserve"> : Spotify se situe </w:t>
            </w:r>
            <w:r>
              <w:rPr>
                <w:b/>
                <w:sz w:val="19"/>
              </w:rPr>
              <w:t>entre « Reactive » et « Proactive »</w:t>
            </w:r>
            <w:r>
              <w:rPr>
                <w:sz w:val="19"/>
              </w:rPr>
              <w:t>.</w:t>
            </w:r>
          </w:p>
          <w:p>
            <w:pPr>
              <w:spacing w:after="100"/>
              <w:jc w:val="both"/>
            </w:pPr>
            <w:r>
              <w:rPr>
                <w:sz w:val="19"/>
              </w:rPr>
              <w:t>Les capacités techniques (architecture, analytics) sont en avance. La gouvernance, la qualité et l'intégration en sont encore à corriger les problèmes au cas par cas.</w:t>
            </w:r>
          </w:p>
          <w:p>
            <w:pPr>
              <w:spacing w:after="100"/>
              <w:jc w:val="both"/>
            </w:pPr>
            <w:r>
              <w:rPr>
                <w:sz w:val="19"/>
              </w:rPr>
              <w:t xml:space="preserve">Spotify sait </w:t>
            </w:r>
            <w:r>
              <w:rPr>
                <w:b/>
                <w:sz w:val="19"/>
              </w:rPr>
              <w:t>produire et exploiter</w:t>
            </w:r>
            <w:r>
              <w:rPr>
                <w:sz w:val="19"/>
              </w:rPr>
              <w:t xml:space="preserve"> la donnée, pas encore la </w:t>
            </w:r>
            <w:r>
              <w:rPr>
                <w:b/>
                <w:sz w:val="19"/>
              </w:rPr>
              <w:t>gouverner</w:t>
            </w:r>
            <w:r>
              <w:rPr>
                <w:sz w:val="19"/>
              </w:rPr>
              <w:t xml:space="preserve"> : c'est l'écart que le plan comble.</w:t>
            </w:r>
          </w:p>
          <w:p>
            <w:pPr>
              <w:spacing w:after="100"/>
              <w:jc w:val="both"/>
            </w:pPr>
            <w:r>
              <w:rPr>
                <w:b/>
                <w:sz w:val="19"/>
              </w:rPr>
              <w:t>Cible : niveau 4 « Managed »</w:t>
            </w:r>
            <w:r>
              <w:rPr>
                <w:sz w:val="19"/>
              </w:rPr>
              <w:t xml:space="preserve"> (politiques connues, data management maîtrisé, sécurité contrôlée) en 24 mois.</w:t>
            </w:r>
          </w:p>
        </w:tc>
      </w:tr>
    </w:tbl>
    <w:p>
      <w:pPr>
        <w:spacing w:after="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C9D6DC"/>
          <w:left w:val="single" w:sz="4" w:space="0" w:color="C9D6DC"/>
          <w:bottom w:val="single" w:sz="4" w:space="0" w:color="C9D6DC"/>
          <w:right w:val="single" w:sz="4" w:space="0" w:color="C9D6DC"/>
          <w:insideH w:val="single" w:sz="4" w:space="0" w:color="C9D6DC"/>
          <w:insideV w:val="single" w:sz="4" w:space="0" w:color="C9D6DC"/>
        </w:tblBorders>
        <w:tblCellMar>
          <w:top w:w="30" w:type="dxa"/>
          <w:left w:w="80" w:type="dxa"/>
          <w:bottom w:w="30" w:type="dxa"/>
          <w:right w:w="80" w:type="dxa"/>
        </w:tblCellMar>
      </w:tblPr>
      <w:tblGrid>
        <w:gridCol w:w="1701"/>
        <w:gridCol w:w="567"/>
        <w:gridCol w:w="3969"/>
        <w:gridCol w:w="2835"/>
      </w:tblGrid>
      <w:tr>
        <w:trPr>
          <w:tblHeader/>
        </w:trPr>
        <w:tc>
          <w:tcPr>
            <w:tcW w:type="dxa" w:w="1701"/>
            <w:shd w:val="clear" w:color="auto" w:fill="1A7197"/>
          </w:tcPr>
          <w:p>
            <w:pPr>
              <w:spacing w:after="20" w:before="0" w:line="240" w:lineRule="auto"/>
            </w:pPr>
            <w:r/>
            <w:r>
              <w:rPr>
                <w:b/>
                <w:color w:val="FFFFFF"/>
                <w:sz w:val="16"/>
              </w:rPr>
              <w:t>Dimension</w:t>
            </w:r>
          </w:p>
        </w:tc>
        <w:tc>
          <w:tcPr>
            <w:tcW w:type="dxa" w:w="567"/>
            <w:shd w:val="clear" w:color="auto" w:fill="1A7197"/>
          </w:tcPr>
          <w:p>
            <w:pPr>
              <w:spacing w:after="20" w:before="0" w:line="240" w:lineRule="auto"/>
              <w:jc w:val="center"/>
            </w:pPr>
            <w:r/>
            <w:r>
              <w:rPr>
                <w:b/>
                <w:color w:val="FFFFFF"/>
                <w:sz w:val="16"/>
              </w:rPr>
              <w:t>Niv.</w:t>
            </w:r>
          </w:p>
        </w:tc>
        <w:tc>
          <w:tcPr>
            <w:tcW w:type="dxa" w:w="3969"/>
            <w:shd w:val="clear" w:color="auto" w:fill="1A7197"/>
          </w:tcPr>
          <w:p>
            <w:pPr>
              <w:spacing w:after="20" w:before="0" w:line="240" w:lineRule="auto"/>
            </w:pPr>
            <w:r/>
            <w:r>
              <w:rPr>
                <w:b/>
                <w:color w:val="FFFFFF"/>
                <w:sz w:val="16"/>
              </w:rPr>
              <w:t>Constat</w:t>
            </w:r>
          </w:p>
        </w:tc>
        <w:tc>
          <w:tcPr>
            <w:tcW w:type="dxa" w:w="2835"/>
            <w:shd w:val="clear" w:color="auto" w:fill="1A7197"/>
          </w:tcPr>
          <w:p>
            <w:pPr>
              <w:spacing w:after="20" w:before="0" w:line="240" w:lineRule="auto"/>
            </w:pPr>
            <w:r/>
            <w:r>
              <w:rPr>
                <w:b/>
                <w:color w:val="FFFFFF"/>
                <w:sz w:val="16"/>
              </w:rPr>
              <w:t>Action prioritaire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E8F4FF"/>
          </w:tcPr>
          <w:p>
            <w:pPr>
              <w:spacing w:after="20" w:before="0" w:line="240" w:lineRule="auto"/>
            </w:pPr>
            <w:r/>
            <w:r>
              <w:rPr>
                <w:b/>
                <w:sz w:val="16"/>
              </w:rPr>
              <w:t>Gouvernance</w:t>
            </w:r>
          </w:p>
        </w:tc>
        <w:tc>
          <w:tcPr>
            <w:tcW w:type="dxa" w:w="567"/>
          </w:tcPr>
          <w:p>
            <w:pPr>
              <w:spacing w:after="20" w:before="0" w:line="240" w:lineRule="auto"/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3969"/>
          </w:tcPr>
          <w:p>
            <w:pPr>
              <w:spacing w:after="20" w:before="0" w:line="240" w:lineRule="auto"/>
            </w:pPr>
            <w:r/>
            <w:r>
              <w:rPr>
                <w:sz w:val="16"/>
              </w:rPr>
              <w:t>Pas de cadre unifié mondial ; rôles flous</w:t>
            </w:r>
          </w:p>
        </w:tc>
        <w:tc>
          <w:tcPr>
            <w:tcW w:type="dxa" w:w="2835"/>
          </w:tcPr>
          <w:p>
            <w:pPr>
              <w:spacing w:after="20" w:before="0" w:line="240" w:lineRule="auto"/>
            </w:pPr>
            <w:r/>
            <w:r>
              <w:rPr>
                <w:sz w:val="16"/>
              </w:rPr>
              <w:t>Comité, Owners et Stewards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E8F4FF"/>
          </w:tcPr>
          <w:p>
            <w:pPr>
              <w:spacing w:after="20" w:before="0" w:line="240" w:lineRule="auto"/>
            </w:pPr>
            <w:r/>
            <w:r>
              <w:rPr>
                <w:b/>
                <w:sz w:val="16"/>
              </w:rPr>
              <w:t>Qualité</w:t>
            </w:r>
          </w:p>
        </w:tc>
        <w:tc>
          <w:tcPr>
            <w:tcW w:type="dxa" w:w="567"/>
          </w:tcPr>
          <w:p>
            <w:pPr>
              <w:spacing w:after="20" w:before="0" w:line="240" w:lineRule="auto"/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3969"/>
          </w:tcPr>
          <w:p>
            <w:pPr>
              <w:spacing w:after="20" w:before="0" w:line="240" w:lineRule="auto"/>
            </w:pPr>
            <w:r/>
            <w:r>
              <w:rPr>
                <w:sz w:val="16"/>
              </w:rPr>
              <w:t>Métadonnées obsolètes, doublons ; impact sur la reco</w:t>
            </w:r>
          </w:p>
        </w:tc>
        <w:tc>
          <w:tcPr>
            <w:tcW w:type="dxa" w:w="2835"/>
          </w:tcPr>
          <w:p>
            <w:pPr>
              <w:spacing w:after="20" w:before="0" w:line="240" w:lineRule="auto"/>
            </w:pPr>
            <w:r/>
            <w:r>
              <w:rPr>
                <w:sz w:val="16"/>
              </w:rPr>
              <w:t>Règles et indicateurs qualité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E8F4FF"/>
          </w:tcPr>
          <w:p>
            <w:pPr>
              <w:spacing w:after="20" w:before="0" w:line="240" w:lineRule="auto"/>
            </w:pPr>
            <w:r/>
            <w:r>
              <w:rPr>
                <w:b/>
                <w:sz w:val="16"/>
              </w:rPr>
              <w:t>Architecture</w:t>
            </w:r>
          </w:p>
        </w:tc>
        <w:tc>
          <w:tcPr>
            <w:tcW w:type="dxa" w:w="567"/>
          </w:tcPr>
          <w:p>
            <w:pPr>
              <w:spacing w:after="20" w:before="0" w:line="240" w:lineRule="auto"/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3969"/>
          </w:tcPr>
          <w:p>
            <w:pPr>
              <w:spacing w:after="20" w:before="0" w:line="240" w:lineRule="auto"/>
            </w:pPr>
            <w:r/>
            <w:r>
              <w:rPr>
                <w:sz w:val="16"/>
              </w:rPr>
              <w:t>Cloud sophistiqué (data lakes, temps réel), non unifié</w:t>
            </w:r>
          </w:p>
        </w:tc>
        <w:tc>
          <w:tcPr>
            <w:tcW w:type="dxa" w:w="2835"/>
          </w:tcPr>
          <w:p>
            <w:pPr>
              <w:spacing w:after="20" w:before="0" w:line="240" w:lineRule="auto"/>
            </w:pPr>
            <w:r/>
            <w:r>
              <w:rPr>
                <w:sz w:val="16"/>
              </w:rPr>
              <w:t>Brancher le catalogue sur l'existant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E8F4FF"/>
          </w:tcPr>
          <w:p>
            <w:pPr>
              <w:spacing w:after="20" w:before="0" w:line="240" w:lineRule="auto"/>
            </w:pPr>
            <w:r/>
            <w:r>
              <w:rPr>
                <w:b/>
                <w:sz w:val="16"/>
              </w:rPr>
              <w:t>Conformité</w:t>
            </w:r>
          </w:p>
        </w:tc>
        <w:tc>
          <w:tcPr>
            <w:tcW w:type="dxa" w:w="567"/>
          </w:tcPr>
          <w:p>
            <w:pPr>
              <w:spacing w:after="20" w:before="0" w:line="240" w:lineRule="auto"/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3969"/>
          </w:tcPr>
          <w:p>
            <w:pPr>
              <w:spacing w:after="20" w:before="0" w:line="240" w:lineRule="auto"/>
            </w:pPr>
            <w:r/>
            <w:r>
              <w:rPr>
                <w:sz w:val="16"/>
              </w:rPr>
              <w:t>Active, mais difficile à tenir sur 180 pays</w:t>
            </w:r>
          </w:p>
        </w:tc>
        <w:tc>
          <w:tcPr>
            <w:tcW w:type="dxa" w:w="2835"/>
          </w:tcPr>
          <w:p>
            <w:pPr>
              <w:spacing w:after="20" w:before="0" w:line="240" w:lineRule="auto"/>
            </w:pPr>
            <w:r/>
            <w:r>
              <w:rPr>
                <w:sz w:val="16"/>
              </w:rPr>
              <w:t>Registre, consentement centralisé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E8F4FF"/>
          </w:tcPr>
          <w:p>
            <w:pPr>
              <w:spacing w:after="20" w:before="0" w:line="240" w:lineRule="auto"/>
            </w:pPr>
            <w:r/>
            <w:r>
              <w:rPr>
                <w:b/>
                <w:sz w:val="16"/>
              </w:rPr>
              <w:t>Usage / accessibilité</w:t>
            </w:r>
          </w:p>
        </w:tc>
        <w:tc>
          <w:tcPr>
            <w:tcW w:type="dxa" w:w="567"/>
          </w:tcPr>
          <w:p>
            <w:pPr>
              <w:spacing w:after="20" w:before="0" w:line="240" w:lineRule="auto"/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3969"/>
          </w:tcPr>
          <w:p>
            <w:pPr>
              <w:spacing w:after="20" w:before="0" w:line="240" w:lineRule="auto"/>
            </w:pPr>
            <w:r/>
            <w:r>
              <w:rPr>
                <w:sz w:val="16"/>
              </w:rPr>
              <w:t>Données cloisonnées ; accès par médiation manuelle</w:t>
            </w:r>
          </w:p>
        </w:tc>
        <w:tc>
          <w:tcPr>
            <w:tcW w:type="dxa" w:w="2835"/>
          </w:tcPr>
          <w:p>
            <w:pPr>
              <w:spacing w:after="20" w:before="0" w:line="240" w:lineRule="auto"/>
            </w:pPr>
            <w:r/>
            <w:r>
              <w:rPr>
                <w:sz w:val="16"/>
              </w:rPr>
              <w:t>Catalogue, libre-service contrôlé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E8F4FF"/>
          </w:tcPr>
          <w:p>
            <w:pPr>
              <w:spacing w:after="20" w:before="0" w:line="240" w:lineRule="auto"/>
            </w:pPr>
            <w:r/>
            <w:r>
              <w:rPr>
                <w:b/>
                <w:sz w:val="16"/>
              </w:rPr>
              <w:t>Sécurité</w:t>
            </w:r>
          </w:p>
        </w:tc>
        <w:tc>
          <w:tcPr>
            <w:tcW w:type="dxa" w:w="567"/>
          </w:tcPr>
          <w:p>
            <w:pPr>
              <w:spacing w:after="20" w:before="0" w:line="240" w:lineRule="auto"/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3969"/>
          </w:tcPr>
          <w:p>
            <w:pPr>
              <w:spacing w:after="20" w:before="0" w:line="240" w:lineRule="auto"/>
            </w:pPr>
            <w:r/>
            <w:r>
              <w:rPr>
                <w:sz w:val="16"/>
              </w:rPr>
              <w:t>Bases solides ; anonymisation à renforcer</w:t>
            </w:r>
          </w:p>
        </w:tc>
        <w:tc>
          <w:tcPr>
            <w:tcW w:type="dxa" w:w="2835"/>
          </w:tcPr>
          <w:p>
            <w:pPr>
              <w:spacing w:after="20" w:before="0" w:line="240" w:lineRule="auto"/>
            </w:pPr>
            <w:r/>
            <w:r>
              <w:rPr>
                <w:sz w:val="16"/>
              </w:rPr>
              <w:t>RBAC / ABAC, pseudonymisation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E8F4FF"/>
          </w:tcPr>
          <w:p>
            <w:pPr>
              <w:spacing w:after="20" w:before="0" w:line="240" w:lineRule="auto"/>
            </w:pPr>
            <w:r/>
            <w:r>
              <w:rPr>
                <w:b/>
                <w:sz w:val="16"/>
              </w:rPr>
              <w:t>Culture data</w:t>
            </w:r>
          </w:p>
        </w:tc>
        <w:tc>
          <w:tcPr>
            <w:tcW w:type="dxa" w:w="567"/>
          </w:tcPr>
          <w:p>
            <w:pPr>
              <w:spacing w:after="20" w:before="0" w:line="240" w:lineRule="auto"/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3969"/>
          </w:tcPr>
          <w:p>
            <w:pPr>
              <w:spacing w:after="20" w:before="0" w:line="240" w:lineRule="auto"/>
            </w:pPr>
            <w:r/>
            <w:r>
              <w:rPr>
                <w:sz w:val="16"/>
              </w:rPr>
              <w:t>Forte côté technique, inégale ailleurs</w:t>
            </w:r>
          </w:p>
        </w:tc>
        <w:tc>
          <w:tcPr>
            <w:tcW w:type="dxa" w:w="2835"/>
          </w:tcPr>
          <w:p>
            <w:pPr>
              <w:spacing w:after="20" w:before="0" w:line="240" w:lineRule="auto"/>
            </w:pPr>
            <w:r/>
            <w:r>
              <w:rPr>
                <w:sz w:val="16"/>
              </w:rPr>
              <w:t>Formation par public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E8F4FF"/>
          </w:tcPr>
          <w:p>
            <w:pPr>
              <w:spacing w:after="20" w:before="0" w:line="240" w:lineRule="auto"/>
            </w:pPr>
            <w:r/>
            <w:r>
              <w:rPr>
                <w:b/>
                <w:sz w:val="16"/>
              </w:rPr>
              <w:t>Intégration</w:t>
            </w:r>
          </w:p>
        </w:tc>
        <w:tc>
          <w:tcPr>
            <w:tcW w:type="dxa" w:w="567"/>
          </w:tcPr>
          <w:p>
            <w:pPr>
              <w:spacing w:after="20" w:before="0" w:line="240" w:lineRule="auto"/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3969"/>
          </w:tcPr>
          <w:p>
            <w:pPr>
              <w:spacing w:after="20" w:before="0" w:line="240" w:lineRule="auto"/>
            </w:pPr>
            <w:r/>
            <w:r>
              <w:rPr>
                <w:sz w:val="16"/>
              </w:rPr>
              <w:t>Fragmentation marketing, produit, contenu</w:t>
            </w:r>
          </w:p>
        </w:tc>
        <w:tc>
          <w:tcPr>
            <w:tcW w:type="dxa" w:w="2835"/>
          </w:tcPr>
          <w:p>
            <w:pPr>
              <w:spacing w:after="20" w:before="0" w:line="240" w:lineRule="auto"/>
            </w:pPr>
            <w:r/>
            <w:r>
              <w:rPr>
                <w:sz w:val="16"/>
              </w:rPr>
              <w:t>Data contracts, standards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E8F4FF"/>
          </w:tcPr>
          <w:p>
            <w:pPr>
              <w:spacing w:after="20" w:before="0" w:line="240" w:lineRule="auto"/>
            </w:pPr>
            <w:r/>
            <w:r>
              <w:rPr>
                <w:b/>
                <w:sz w:val="16"/>
              </w:rPr>
              <w:t>Analytics / BI</w:t>
            </w:r>
          </w:p>
        </w:tc>
        <w:tc>
          <w:tcPr>
            <w:tcW w:type="dxa" w:w="567"/>
          </w:tcPr>
          <w:p>
            <w:pPr>
              <w:spacing w:after="20" w:before="0" w:line="240" w:lineRule="auto"/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3969"/>
          </w:tcPr>
          <w:p>
            <w:pPr>
              <w:spacing w:after="20" w:before="0" w:line="240" w:lineRule="auto"/>
            </w:pPr>
            <w:r/>
            <w:r>
              <w:rPr>
                <w:sz w:val="16"/>
              </w:rPr>
              <w:t>Forte capacité, dépendante de la qualité</w:t>
            </w:r>
          </w:p>
        </w:tc>
        <w:tc>
          <w:tcPr>
            <w:tcW w:type="dxa" w:w="2835"/>
          </w:tcPr>
          <w:p>
            <w:pPr>
              <w:spacing w:after="20" w:before="0" w:line="240" w:lineRule="auto"/>
            </w:pPr>
            <w:r/>
            <w:r>
              <w:rPr>
                <w:sz w:val="16"/>
              </w:rPr>
              <w:t>Fiabiliser les entrées</w:t>
            </w:r>
          </w:p>
        </w:tc>
      </w:tr>
    </w:tbl>
    <w:p>
      <w:pPr>
        <w:spacing w:after="80" w:before="0" w:line="80" w:lineRule="exact"/>
      </w:pPr>
    </w:p>
    <w:p>
      <w:pPr>
        <w:pStyle w:val="Titre1"/>
        <w:spacing w:before="220" w:after="80"/>
      </w:pPr>
      <w:bookmarkStart w:id="104" w:name="_Toc900104"/>
      <w:r>
        <w:t>1.3 Principaux défis de gouvernance</w:t>
      </w:r>
      <w:bookmarkEnd w:id="104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C9D6DC"/>
          <w:left w:val="single" w:sz="4" w:space="0" w:color="C9D6DC"/>
          <w:bottom w:val="single" w:sz="4" w:space="0" w:color="C9D6DC"/>
          <w:right w:val="single" w:sz="4" w:space="0" w:color="C9D6DC"/>
          <w:insideH w:val="single" w:sz="4" w:space="0" w:color="C9D6DC"/>
          <w:insideV w:val="single" w:sz="4" w:space="0" w:color="C9D6DC"/>
        </w:tblBorders>
        <w:tblCellMar>
          <w:top w:w="30" w:type="dxa"/>
          <w:left w:w="80" w:type="dxa"/>
          <w:bottom w:w="30" w:type="dxa"/>
          <w:right w:w="80" w:type="dxa"/>
        </w:tblCellMar>
      </w:tblPr>
      <w:tblGrid>
        <w:gridCol w:w="1927"/>
        <w:gridCol w:w="3855"/>
        <w:gridCol w:w="3288"/>
      </w:tblGrid>
      <w:tr>
        <w:trPr>
          <w:tblHeader/>
        </w:trPr>
        <w:tc>
          <w:tcPr>
            <w:tcW w:type="dxa" w:w="1928"/>
            <w:shd w:val="clear" w:color="auto" w:fill="1A7197"/>
          </w:tcPr>
          <w:p>
            <w:pPr>
              <w:keepNext/>
              <w:spacing w:after="20" w:before="0" w:line="240" w:lineRule="auto"/>
            </w:pPr>
            <w:r/>
            <w:r>
              <w:rPr>
                <w:b/>
                <w:color w:val="FFFFFF"/>
                <w:sz w:val="16"/>
              </w:rPr>
              <w:t>Défi</w:t>
            </w:r>
          </w:p>
        </w:tc>
        <w:tc>
          <w:tcPr>
            <w:tcW w:type="dxa" w:w="3855"/>
            <w:shd w:val="clear" w:color="auto" w:fill="1A7197"/>
          </w:tcPr>
          <w:p>
            <w:pPr>
              <w:keepNext/>
              <w:spacing w:after="20" w:before="0" w:line="240" w:lineRule="auto"/>
            </w:pPr>
            <w:r/>
            <w:r>
              <w:rPr>
                <w:b/>
                <w:color w:val="FFFFFF"/>
                <w:sz w:val="16"/>
              </w:rPr>
              <w:t>Constat</w:t>
            </w:r>
          </w:p>
        </w:tc>
        <w:tc>
          <w:tcPr>
            <w:tcW w:type="dxa" w:w="3288"/>
            <w:shd w:val="clear" w:color="auto" w:fill="1A7197"/>
          </w:tcPr>
          <w:p>
            <w:pPr>
              <w:keepNext/>
              <w:spacing w:after="20" w:before="0" w:line="240" w:lineRule="auto"/>
            </w:pPr>
            <w:r/>
            <w:r>
              <w:rPr>
                <w:b/>
                <w:color w:val="FFFFFF"/>
                <w:sz w:val="16"/>
              </w:rPr>
              <w:t>Conséquence pour Spotify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E8F4FF"/>
          </w:tcPr>
          <w:p>
            <w:pPr>
              <w:keepNext/>
              <w:spacing w:after="20" w:before="0" w:line="240" w:lineRule="auto"/>
            </w:pPr>
            <w:r/>
            <w:r>
              <w:rPr>
                <w:b/>
                <w:sz w:val="16"/>
              </w:rPr>
              <w:t>Silos et fragmentation</w:t>
            </w:r>
          </w:p>
        </w:tc>
        <w:tc>
          <w:tcPr>
            <w:tcW w:type="dxa" w:w="3855"/>
          </w:tcPr>
          <w:p>
            <w:pPr>
              <w:keepNext/>
              <w:spacing w:after="20" w:before="0" w:line="240" w:lineRule="auto"/>
            </w:pPr>
            <w:r/>
            <w:r>
              <w:rPr>
                <w:sz w:val="16"/>
              </w:rPr>
              <w:t>Chaque département gère ses données ; vues incohérentes d'un même utilisateur</w:t>
            </w:r>
          </w:p>
        </w:tc>
        <w:tc>
          <w:tcPr>
            <w:tcW w:type="dxa" w:w="3288"/>
          </w:tcPr>
          <w:p>
            <w:pPr>
              <w:keepNext/>
              <w:spacing w:after="20" w:before="0" w:line="240" w:lineRule="auto"/>
            </w:pPr>
            <w:r/>
            <w:r>
              <w:rPr>
                <w:sz w:val="16"/>
              </w:rPr>
              <w:t>Doublons, parcours utilisateur non reconstituable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E8F4FF"/>
          </w:tcPr>
          <w:p>
            <w:pPr>
              <w:keepNext/>
              <w:spacing w:after="20" w:before="0" w:line="240" w:lineRule="auto"/>
            </w:pPr>
            <w:r/>
            <w:r>
              <w:rPr>
                <w:b/>
                <w:sz w:val="16"/>
              </w:rPr>
              <w:t>Qualité inégale</w:t>
            </w:r>
          </w:p>
        </w:tc>
        <w:tc>
          <w:tcPr>
            <w:tcW w:type="dxa" w:w="3855"/>
          </w:tcPr>
          <w:p>
            <w:pPr>
              <w:keepNext/>
              <w:spacing w:after="20" w:before="0" w:line="240" w:lineRule="auto"/>
            </w:pPr>
            <w:r/>
            <w:r>
              <w:rPr>
                <w:sz w:val="16"/>
              </w:rPr>
              <w:t>Logs et métadonnées incomplets, obsolètes ou incohérents</w:t>
            </w:r>
          </w:p>
        </w:tc>
        <w:tc>
          <w:tcPr>
            <w:tcW w:type="dxa" w:w="3288"/>
          </w:tcPr>
          <w:p>
            <w:pPr>
              <w:keepNext/>
              <w:spacing w:after="20" w:before="0" w:line="240" w:lineRule="auto"/>
            </w:pPr>
            <w:r/>
            <w:r>
              <w:rPr>
                <w:sz w:val="16"/>
              </w:rPr>
              <w:t>Recommandations dégradées, mauvaises décisions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E8F4FF"/>
          </w:tcPr>
          <w:p>
            <w:pPr>
              <w:keepNext/>
              <w:spacing w:after="20" w:before="0" w:line="240" w:lineRule="auto"/>
            </w:pPr>
            <w:r/>
            <w:r>
              <w:rPr>
                <w:b/>
                <w:sz w:val="16"/>
              </w:rPr>
              <w:t>Conformité multi-juridictions</w:t>
            </w:r>
          </w:p>
        </w:tc>
        <w:tc>
          <w:tcPr>
            <w:tcW w:type="dxa" w:w="3855"/>
          </w:tcPr>
          <w:p>
            <w:pPr>
              <w:keepNext/>
              <w:spacing w:after="20" w:before="0" w:line="240" w:lineRule="auto"/>
            </w:pPr>
            <w:r/>
            <w:r>
              <w:rPr>
                <w:sz w:val="16"/>
              </w:rPr>
              <w:t>RGPD, CCPA et lois locales en évolution</w:t>
            </w:r>
          </w:p>
        </w:tc>
        <w:tc>
          <w:tcPr>
            <w:tcW w:type="dxa" w:w="3288"/>
          </w:tcPr>
          <w:p>
            <w:pPr>
              <w:keepNext/>
              <w:spacing w:after="20" w:before="0" w:line="240" w:lineRule="auto"/>
            </w:pPr>
            <w:r/>
            <w:r>
              <w:rPr>
                <w:sz w:val="16"/>
              </w:rPr>
              <w:t>Sanctions jusqu'à 4 % du CA mondial, réputation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E8F4FF"/>
          </w:tcPr>
          <w:p>
            <w:pPr>
              <w:keepNext/>
              <w:spacing w:after="20" w:before="0" w:line="240" w:lineRule="auto"/>
            </w:pPr>
            <w:r/>
            <w:r>
              <w:rPr>
                <w:b/>
                <w:sz w:val="16"/>
              </w:rPr>
              <w:t>Vie privée</w:t>
            </w:r>
          </w:p>
        </w:tc>
        <w:tc>
          <w:tcPr>
            <w:tcW w:type="dxa" w:w="3855"/>
          </w:tcPr>
          <w:p>
            <w:pPr>
              <w:keepNext/>
              <w:spacing w:after="20" w:before="0" w:line="240" w:lineRule="auto"/>
            </w:pPr>
            <w:r/>
            <w:r>
              <w:rPr>
                <w:sz w:val="16"/>
              </w:rPr>
              <w:t>Personnalisation et publicité reposent sur des données personnelles</w:t>
            </w:r>
          </w:p>
        </w:tc>
        <w:tc>
          <w:tcPr>
            <w:tcW w:type="dxa" w:w="3288"/>
          </w:tcPr>
          <w:p>
            <w:pPr>
              <w:keepNext/>
              <w:spacing w:after="20" w:before="0" w:line="240" w:lineRule="auto"/>
            </w:pPr>
            <w:r/>
            <w:r>
              <w:rPr>
                <w:sz w:val="16"/>
              </w:rPr>
              <w:t>Perte de confiance, contentieux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E8F4FF"/>
          </w:tcPr>
          <w:p>
            <w:pPr>
              <w:keepNext/>
              <w:spacing w:after="20" w:before="0" w:line="240" w:lineRule="auto"/>
            </w:pPr>
            <w:r/>
            <w:r>
              <w:rPr>
                <w:b/>
                <w:sz w:val="16"/>
              </w:rPr>
              <w:t>Accès et intégration</w:t>
            </w:r>
          </w:p>
        </w:tc>
        <w:tc>
          <w:tcPr>
            <w:tcW w:type="dxa" w:w="3855"/>
          </w:tcPr>
          <w:p>
            <w:pPr>
              <w:keepNext/>
              <w:spacing w:after="20" w:before="0" w:line="240" w:lineRule="auto"/>
            </w:pPr>
            <w:r/>
            <w:r>
              <w:rPr>
                <w:sz w:val="16"/>
              </w:rPr>
              <w:t>Données difficiles à trouver et à combiner</w:t>
            </w:r>
          </w:p>
        </w:tc>
        <w:tc>
          <w:tcPr>
            <w:tcW w:type="dxa" w:w="3288"/>
          </w:tcPr>
          <w:p>
            <w:pPr>
              <w:keepNext/>
              <w:spacing w:after="20" w:before="0" w:line="240" w:lineRule="auto"/>
            </w:pPr>
            <w:r/>
            <w:r>
              <w:rPr>
                <w:sz w:val="16"/>
              </w:rPr>
              <w:t>Lancement de fonctionnalités ralenti, shadow IT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E8F4FF"/>
          </w:tcPr>
          <w:p>
            <w:pPr>
              <w:spacing w:after="20" w:before="0" w:line="240" w:lineRule="auto"/>
            </w:pPr>
            <w:r/>
            <w:r>
              <w:rPr>
                <w:b/>
                <w:sz w:val="16"/>
              </w:rPr>
              <w:t>Culture et rôles</w:t>
            </w:r>
          </w:p>
        </w:tc>
        <w:tc>
          <w:tcPr>
            <w:tcW w:type="dxa" w:w="3855"/>
          </w:tcPr>
          <w:p>
            <w:pPr>
              <w:spacing w:after="20" w:before="0" w:line="240" w:lineRule="auto"/>
            </w:pPr>
            <w:r/>
            <w:r>
              <w:rPr>
                <w:sz w:val="16"/>
              </w:rPr>
              <w:t>Pas de Data Stewards, culture data inégale</w:t>
            </w:r>
          </w:p>
        </w:tc>
        <w:tc>
          <w:tcPr>
            <w:tcW w:type="dxa" w:w="3288"/>
          </w:tcPr>
          <w:p>
            <w:pPr>
              <w:spacing w:after="20" w:before="0" w:line="240" w:lineRule="auto"/>
            </w:pPr>
            <w:r/>
            <w:r>
              <w:rPr>
                <w:sz w:val="16"/>
              </w:rPr>
              <w:t>Décisions non prises, responsabilités diluées</w:t>
            </w:r>
          </w:p>
        </w:tc>
      </w:tr>
    </w:tbl>
    <w:p>
      <w:pPr>
        <w:spacing w:after="80" w:before="0" w:line="80" w:lineRule="exact"/>
      </w:pPr>
    </w:p>
    <w:p>
      <w:pPr>
        <w:pStyle w:val="Titre1"/>
        <w:spacing w:before="220" w:after="80"/>
      </w:pPr>
      <w:bookmarkStart w:id="105" w:name="_Toc900105"/>
      <w:r>
        <w:t>1.4 Analyse et priorisation des risques</w:t>
      </w:r>
      <w:bookmarkEnd w:id="105"/>
    </w:p>
    <w:p>
      <w:pPr>
        <w:keepNext/>
        <w:spacing w:after="60" w:before="0"/>
      </w:pPr>
      <w:r>
        <w:rPr>
          <w:b/>
          <w:sz w:val="19"/>
        </w:rPr>
        <w:t>Score = Probabilité (P) × Impact (I)</w:t>
      </w:r>
      <w:r>
        <w:rPr>
          <w:sz w:val="19"/>
        </w:rPr>
        <w:t>, chacun noté de 1 à 3 (estimation qualitative). ≥ 6 : haute ; 4-5 : moyenne ; &lt; 4 : faible.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C9D6DC"/>
          <w:left w:val="single" w:sz="4" w:space="0" w:color="C9D6DC"/>
          <w:bottom w:val="single" w:sz="4" w:space="0" w:color="C9D6DC"/>
          <w:right w:val="single" w:sz="4" w:space="0" w:color="C9D6DC"/>
          <w:insideH w:val="single" w:sz="4" w:space="0" w:color="C9D6DC"/>
          <w:insideV w:val="single" w:sz="4" w:space="0" w:color="C9D6DC"/>
        </w:tblBorders>
        <w:tblCellMar>
          <w:top w:w="30" w:type="dxa"/>
          <w:left w:w="80" w:type="dxa"/>
          <w:bottom w:w="30" w:type="dxa"/>
          <w:right w:w="80" w:type="dxa"/>
        </w:tblCellMar>
      </w:tblPr>
      <w:tblGrid>
        <w:gridCol w:w="4422"/>
        <w:gridCol w:w="1587"/>
        <w:gridCol w:w="510"/>
        <w:gridCol w:w="510"/>
        <w:gridCol w:w="793"/>
        <w:gridCol w:w="1247"/>
      </w:tblGrid>
      <w:tr>
        <w:trPr>
          <w:tblHeader/>
        </w:trPr>
        <w:tc>
          <w:tcPr>
            <w:tcW w:type="dxa" w:w="4422"/>
            <w:shd w:val="clear" w:color="auto" w:fill="1A7197"/>
          </w:tcPr>
          <w:p>
            <w:pPr>
              <w:keepNext/>
              <w:spacing w:after="20" w:before="0" w:line="240" w:lineRule="auto"/>
            </w:pPr>
            <w:r/>
            <w:r>
              <w:rPr>
                <w:b/>
                <w:color w:val="FFFFFF"/>
                <w:sz w:val="16"/>
              </w:rPr>
              <w:t>Risque</w:t>
            </w:r>
          </w:p>
        </w:tc>
        <w:tc>
          <w:tcPr>
            <w:tcW w:type="dxa" w:w="1587"/>
            <w:shd w:val="clear" w:color="auto" w:fill="1A7197"/>
          </w:tcPr>
          <w:p>
            <w:pPr>
              <w:keepNext/>
              <w:spacing w:after="20" w:before="0" w:line="240" w:lineRule="auto"/>
            </w:pPr>
            <w:r/>
            <w:r>
              <w:rPr>
                <w:b/>
                <w:color w:val="FFFFFF"/>
                <w:sz w:val="16"/>
              </w:rPr>
              <w:t>Catégorie</w:t>
            </w:r>
          </w:p>
        </w:tc>
        <w:tc>
          <w:tcPr>
            <w:tcW w:type="dxa" w:w="510"/>
            <w:shd w:val="clear" w:color="auto" w:fill="1A7197"/>
          </w:tcPr>
          <w:p>
            <w:pPr>
              <w:keepNext/>
              <w:spacing w:after="20" w:before="0" w:line="240" w:lineRule="auto"/>
              <w:jc w:val="center"/>
            </w:pPr>
            <w:r/>
            <w:r>
              <w:rPr>
                <w:b/>
                <w:color w:val="FFFFFF"/>
                <w:sz w:val="16"/>
              </w:rPr>
              <w:t>P</w:t>
            </w:r>
          </w:p>
        </w:tc>
        <w:tc>
          <w:tcPr>
            <w:tcW w:type="dxa" w:w="510"/>
            <w:shd w:val="clear" w:color="auto" w:fill="1A7197"/>
          </w:tcPr>
          <w:p>
            <w:pPr>
              <w:keepNext/>
              <w:spacing w:after="20" w:before="0" w:line="240" w:lineRule="auto"/>
              <w:jc w:val="center"/>
            </w:pPr>
            <w:r/>
            <w:r>
              <w:rPr>
                <w:b/>
                <w:color w:val="FFFFFF"/>
                <w:sz w:val="16"/>
              </w:rPr>
              <w:t>I</w:t>
            </w:r>
          </w:p>
        </w:tc>
        <w:tc>
          <w:tcPr>
            <w:tcW w:type="dxa" w:w="794"/>
            <w:shd w:val="clear" w:color="auto" w:fill="1A7197"/>
          </w:tcPr>
          <w:p>
            <w:pPr>
              <w:keepNext/>
              <w:spacing w:after="20" w:before="0" w:line="240" w:lineRule="auto"/>
              <w:jc w:val="center"/>
            </w:pPr>
            <w:r/>
            <w:r>
              <w:rPr>
                <w:b/>
                <w:color w:val="FFFFFF"/>
                <w:sz w:val="16"/>
              </w:rPr>
              <w:t>Score</w:t>
            </w:r>
          </w:p>
        </w:tc>
        <w:tc>
          <w:tcPr>
            <w:tcW w:type="dxa" w:w="1247"/>
            <w:shd w:val="clear" w:color="auto" w:fill="1A7197"/>
          </w:tcPr>
          <w:p>
            <w:pPr>
              <w:keepNext/>
              <w:spacing w:after="20" w:before="0" w:line="240" w:lineRule="auto"/>
              <w:jc w:val="center"/>
            </w:pPr>
            <w:r/>
            <w:r>
              <w:rPr>
                <w:b/>
                <w:color w:val="FFFFFF"/>
                <w:sz w:val="16"/>
              </w:rPr>
              <w:t>Priorité</w:t>
            </w:r>
          </w:p>
        </w:tc>
      </w:tr>
      <w:tr>
        <w:trPr>
          <w:cantSplit/>
        </w:trPr>
        <w:tc>
          <w:tcPr>
            <w:tcW w:type="dxa" w:w="4422"/>
          </w:tcPr>
          <w:p>
            <w:pPr>
              <w:keepNext/>
              <w:spacing w:after="20" w:before="0" w:line="240" w:lineRule="auto"/>
            </w:pPr>
            <w:r/>
            <w:r>
              <w:rPr>
                <w:sz w:val="16"/>
              </w:rPr>
              <w:t>Non-conformité RGPD / CCPA (consentement, droits, transferts)</w:t>
            </w:r>
          </w:p>
        </w:tc>
        <w:tc>
          <w:tcPr>
            <w:tcW w:type="dxa" w:w="1587"/>
          </w:tcPr>
          <w:p>
            <w:pPr>
              <w:keepNext/>
              <w:spacing w:after="20" w:before="0" w:line="240" w:lineRule="auto"/>
            </w:pPr>
            <w:r/>
            <w:r>
              <w:rPr>
                <w:sz w:val="16"/>
              </w:rPr>
              <w:t>Confidentialité</w:t>
            </w:r>
          </w:p>
        </w:tc>
        <w:tc>
          <w:tcPr>
            <w:tcW w:type="dxa" w:w="510"/>
          </w:tcPr>
          <w:p>
            <w:pPr>
              <w:keepNext/>
              <w:spacing w:after="20" w:before="0" w:line="240" w:lineRule="auto"/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510"/>
          </w:tcPr>
          <w:p>
            <w:pPr>
              <w:keepNext/>
              <w:spacing w:after="20" w:before="0" w:line="240" w:lineRule="auto"/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794"/>
          </w:tcPr>
          <w:p>
            <w:pPr>
              <w:keepNext/>
              <w:spacing w:after="20" w:before="0" w:line="240" w:lineRule="auto"/>
              <w:jc w:val="center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1247"/>
            <w:shd w:val="clear" w:color="auto" w:fill="F4B9B2"/>
          </w:tcPr>
          <w:p>
            <w:pPr>
              <w:keepNext/>
              <w:spacing w:after="20" w:before="0" w:line="240" w:lineRule="auto"/>
              <w:jc w:val="center"/>
            </w:pPr>
            <w:r>
              <w:rPr>
                <w:b/>
                <w:color w:val="7A1F14"/>
              </w:rPr>
            </w:r>
            <w:r>
              <w:rPr>
                <w:b/>
                <w:color w:val="7A1F14"/>
                <w:sz w:val="16"/>
              </w:rPr>
              <w:t>Haute</w:t>
            </w:r>
          </w:p>
        </w:tc>
      </w:tr>
      <w:tr>
        <w:trPr>
          <w:cantSplit/>
        </w:trPr>
        <w:tc>
          <w:tcPr>
            <w:tcW w:type="dxa" w:w="4422"/>
          </w:tcPr>
          <w:p>
            <w:pPr>
              <w:keepNext/>
              <w:spacing w:after="20" w:before="0" w:line="240" w:lineRule="auto"/>
            </w:pPr>
            <w:r/>
            <w:r>
              <w:rPr>
                <w:sz w:val="16"/>
              </w:rPr>
              <w:t>Violation de données personnelles ou de paiement</w:t>
            </w:r>
          </w:p>
        </w:tc>
        <w:tc>
          <w:tcPr>
            <w:tcW w:type="dxa" w:w="1587"/>
          </w:tcPr>
          <w:p>
            <w:pPr>
              <w:keepNext/>
              <w:spacing w:after="20" w:before="0" w:line="240" w:lineRule="auto"/>
            </w:pPr>
            <w:r/>
            <w:r>
              <w:rPr>
                <w:sz w:val="16"/>
              </w:rPr>
              <w:t>Sécurité</w:t>
            </w:r>
          </w:p>
        </w:tc>
        <w:tc>
          <w:tcPr>
            <w:tcW w:type="dxa" w:w="510"/>
          </w:tcPr>
          <w:p>
            <w:pPr>
              <w:keepNext/>
              <w:spacing w:after="20" w:before="0" w:line="240" w:lineRule="auto"/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510"/>
          </w:tcPr>
          <w:p>
            <w:pPr>
              <w:keepNext/>
              <w:spacing w:after="20" w:before="0" w:line="240" w:lineRule="auto"/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794"/>
          </w:tcPr>
          <w:p>
            <w:pPr>
              <w:keepNext/>
              <w:spacing w:after="20" w:before="0" w:line="240" w:lineRule="auto"/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247"/>
            <w:shd w:val="clear" w:color="auto" w:fill="F4B9B2"/>
          </w:tcPr>
          <w:p>
            <w:pPr>
              <w:keepNext/>
              <w:spacing w:after="20" w:before="0" w:line="240" w:lineRule="auto"/>
              <w:jc w:val="center"/>
            </w:pPr>
            <w:r>
              <w:rPr>
                <w:b/>
                <w:color w:val="7A1F14"/>
              </w:rPr>
            </w:r>
            <w:r>
              <w:rPr>
                <w:b/>
                <w:color w:val="7A1F14"/>
                <w:sz w:val="16"/>
              </w:rPr>
              <w:t>Haute</w:t>
            </w:r>
          </w:p>
        </w:tc>
      </w:tr>
      <w:tr>
        <w:trPr>
          <w:cantSplit/>
        </w:trPr>
        <w:tc>
          <w:tcPr>
            <w:tcW w:type="dxa" w:w="4422"/>
          </w:tcPr>
          <w:p>
            <w:pPr>
              <w:keepNext/>
              <w:spacing w:after="20" w:before="0" w:line="240" w:lineRule="auto"/>
            </w:pPr>
            <w:r/>
            <w:r>
              <w:rPr>
                <w:sz w:val="16"/>
              </w:rPr>
              <w:t>Accès excessif ou non tracé aux données</w:t>
            </w:r>
          </w:p>
        </w:tc>
        <w:tc>
          <w:tcPr>
            <w:tcW w:type="dxa" w:w="1587"/>
          </w:tcPr>
          <w:p>
            <w:pPr>
              <w:keepNext/>
              <w:spacing w:after="20" w:before="0" w:line="240" w:lineRule="auto"/>
            </w:pPr>
            <w:r/>
            <w:r>
              <w:rPr>
                <w:sz w:val="16"/>
              </w:rPr>
              <w:t>Sécurité</w:t>
            </w:r>
          </w:p>
        </w:tc>
        <w:tc>
          <w:tcPr>
            <w:tcW w:type="dxa" w:w="510"/>
          </w:tcPr>
          <w:p>
            <w:pPr>
              <w:keepNext/>
              <w:spacing w:after="20" w:before="0" w:line="240" w:lineRule="auto"/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510"/>
          </w:tcPr>
          <w:p>
            <w:pPr>
              <w:keepNext/>
              <w:spacing w:after="20" w:before="0" w:line="240" w:lineRule="auto"/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794"/>
          </w:tcPr>
          <w:p>
            <w:pPr>
              <w:keepNext/>
              <w:spacing w:after="20" w:before="0" w:line="240" w:lineRule="auto"/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247"/>
            <w:shd w:val="clear" w:color="auto" w:fill="F4B9B2"/>
          </w:tcPr>
          <w:p>
            <w:pPr>
              <w:keepNext/>
              <w:spacing w:after="20" w:before="0" w:line="240" w:lineRule="auto"/>
              <w:jc w:val="center"/>
            </w:pPr>
            <w:r>
              <w:rPr>
                <w:b/>
                <w:color w:val="7A1F14"/>
              </w:rPr>
            </w:r>
            <w:r>
              <w:rPr>
                <w:b/>
                <w:color w:val="7A1F14"/>
                <w:sz w:val="16"/>
              </w:rPr>
              <w:t>Haute</w:t>
            </w:r>
          </w:p>
        </w:tc>
      </w:tr>
      <w:tr>
        <w:trPr>
          <w:cantSplit/>
        </w:trPr>
        <w:tc>
          <w:tcPr>
            <w:tcW w:type="dxa" w:w="4422"/>
          </w:tcPr>
          <w:p>
            <w:pPr>
              <w:keepNext/>
              <w:spacing w:after="20" w:before="0" w:line="240" w:lineRule="auto"/>
            </w:pPr>
            <w:r/>
            <w:r>
              <w:rPr>
                <w:sz w:val="16"/>
              </w:rPr>
              <w:t>Données de mauvaise qualité alimentant les modèles</w:t>
            </w:r>
          </w:p>
        </w:tc>
        <w:tc>
          <w:tcPr>
            <w:tcW w:type="dxa" w:w="1587"/>
          </w:tcPr>
          <w:p>
            <w:pPr>
              <w:keepNext/>
              <w:spacing w:after="20" w:before="0" w:line="240" w:lineRule="auto"/>
            </w:pPr>
            <w:r/>
            <w:r>
              <w:rPr>
                <w:sz w:val="16"/>
              </w:rPr>
              <w:t>Qualité</w:t>
            </w:r>
          </w:p>
        </w:tc>
        <w:tc>
          <w:tcPr>
            <w:tcW w:type="dxa" w:w="510"/>
          </w:tcPr>
          <w:p>
            <w:pPr>
              <w:keepNext/>
              <w:spacing w:after="20" w:before="0" w:line="240" w:lineRule="auto"/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510"/>
          </w:tcPr>
          <w:p>
            <w:pPr>
              <w:keepNext/>
              <w:spacing w:after="20" w:before="0" w:line="240" w:lineRule="auto"/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794"/>
          </w:tcPr>
          <w:p>
            <w:pPr>
              <w:keepNext/>
              <w:spacing w:after="20" w:before="0" w:line="240" w:lineRule="auto"/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247"/>
            <w:shd w:val="clear" w:color="auto" w:fill="F4B9B2"/>
          </w:tcPr>
          <w:p>
            <w:pPr>
              <w:keepNext/>
              <w:spacing w:after="20" w:before="0" w:line="240" w:lineRule="auto"/>
              <w:jc w:val="center"/>
            </w:pPr>
            <w:r>
              <w:rPr>
                <w:b/>
                <w:color w:val="7A1F14"/>
              </w:rPr>
            </w:r>
            <w:r>
              <w:rPr>
                <w:b/>
                <w:color w:val="7A1F14"/>
                <w:sz w:val="16"/>
              </w:rPr>
              <w:t>Haute</w:t>
            </w:r>
          </w:p>
        </w:tc>
      </w:tr>
      <w:tr>
        <w:trPr>
          <w:cantSplit/>
        </w:trPr>
        <w:tc>
          <w:tcPr>
            <w:tcW w:type="dxa" w:w="4422"/>
          </w:tcPr>
          <w:p>
            <w:pPr>
              <w:keepNext/>
              <w:spacing w:after="20" w:before="0" w:line="240" w:lineRule="auto"/>
            </w:pPr>
            <w:r/>
            <w:r>
              <w:rPr>
                <w:sz w:val="16"/>
              </w:rPr>
              <w:t>Silos, doublons, absence de source unique</w:t>
            </w:r>
          </w:p>
        </w:tc>
        <w:tc>
          <w:tcPr>
            <w:tcW w:type="dxa" w:w="1587"/>
          </w:tcPr>
          <w:p>
            <w:pPr>
              <w:keepNext/>
              <w:spacing w:after="20" w:before="0" w:line="240" w:lineRule="auto"/>
            </w:pPr>
            <w:r/>
            <w:r>
              <w:rPr>
                <w:sz w:val="16"/>
              </w:rPr>
              <w:t>Organisation</w:t>
            </w:r>
          </w:p>
        </w:tc>
        <w:tc>
          <w:tcPr>
            <w:tcW w:type="dxa" w:w="510"/>
          </w:tcPr>
          <w:p>
            <w:pPr>
              <w:keepNext/>
              <w:spacing w:after="20" w:before="0" w:line="240" w:lineRule="auto"/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510"/>
          </w:tcPr>
          <w:p>
            <w:pPr>
              <w:keepNext/>
              <w:spacing w:after="20" w:before="0" w:line="240" w:lineRule="auto"/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794"/>
          </w:tcPr>
          <w:p>
            <w:pPr>
              <w:keepNext/>
              <w:spacing w:after="20" w:before="0" w:line="240" w:lineRule="auto"/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247"/>
            <w:shd w:val="clear" w:color="auto" w:fill="F4B9B2"/>
          </w:tcPr>
          <w:p>
            <w:pPr>
              <w:keepNext/>
              <w:spacing w:after="20" w:before="0" w:line="240" w:lineRule="auto"/>
              <w:jc w:val="center"/>
            </w:pPr>
            <w:r>
              <w:rPr>
                <w:b/>
                <w:color w:val="7A1F14"/>
              </w:rPr>
            </w:r>
            <w:r>
              <w:rPr>
                <w:b/>
                <w:color w:val="7A1F14"/>
                <w:sz w:val="16"/>
              </w:rPr>
              <w:t>Haute</w:t>
            </w:r>
          </w:p>
        </w:tc>
      </w:tr>
      <w:tr>
        <w:trPr>
          <w:cantSplit/>
        </w:trPr>
        <w:tc>
          <w:tcPr>
            <w:tcW w:type="dxa" w:w="4422"/>
          </w:tcPr>
          <w:p>
            <w:pPr>
              <w:keepNext/>
              <w:spacing w:after="20" w:before="0" w:line="240" w:lineRule="auto"/>
            </w:pPr>
            <w:r/>
            <w:r>
              <w:rPr>
                <w:sz w:val="16"/>
              </w:rPr>
              <w:t>Résistance au changement, rôles flous</w:t>
            </w:r>
          </w:p>
        </w:tc>
        <w:tc>
          <w:tcPr>
            <w:tcW w:type="dxa" w:w="1587"/>
          </w:tcPr>
          <w:p>
            <w:pPr>
              <w:keepNext/>
              <w:spacing w:after="20" w:before="0" w:line="240" w:lineRule="auto"/>
            </w:pPr>
            <w:r/>
            <w:r>
              <w:rPr>
                <w:sz w:val="16"/>
              </w:rPr>
              <w:t>Organisation</w:t>
            </w:r>
          </w:p>
        </w:tc>
        <w:tc>
          <w:tcPr>
            <w:tcW w:type="dxa" w:w="510"/>
          </w:tcPr>
          <w:p>
            <w:pPr>
              <w:keepNext/>
              <w:spacing w:after="20" w:before="0" w:line="240" w:lineRule="auto"/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510"/>
          </w:tcPr>
          <w:p>
            <w:pPr>
              <w:keepNext/>
              <w:spacing w:after="20" w:before="0" w:line="240" w:lineRule="auto"/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794"/>
          </w:tcPr>
          <w:p>
            <w:pPr>
              <w:keepNext/>
              <w:spacing w:after="20" w:before="0" w:line="240" w:lineRule="auto"/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247"/>
            <w:shd w:val="clear" w:color="auto" w:fill="F4B9B2"/>
          </w:tcPr>
          <w:p>
            <w:pPr>
              <w:keepNext/>
              <w:spacing w:after="20" w:before="0" w:line="240" w:lineRule="auto"/>
              <w:jc w:val="center"/>
            </w:pPr>
            <w:r>
              <w:rPr>
                <w:b/>
                <w:color w:val="7A1F14"/>
              </w:rPr>
            </w:r>
            <w:r>
              <w:rPr>
                <w:b/>
                <w:color w:val="7A1F14"/>
                <w:sz w:val="16"/>
              </w:rPr>
              <w:t>Haute</w:t>
            </w:r>
          </w:p>
        </w:tc>
      </w:tr>
      <w:tr>
        <w:trPr>
          <w:cantSplit/>
        </w:trPr>
        <w:tc>
          <w:tcPr>
            <w:tcW w:type="dxa" w:w="4422"/>
          </w:tcPr>
          <w:p>
            <w:pPr>
              <w:keepNext/>
              <w:spacing w:after="20" w:before="0" w:line="240" w:lineRule="auto"/>
            </w:pPr>
            <w:r/>
            <w:r>
              <w:rPr>
                <w:sz w:val="16"/>
              </w:rPr>
              <w:t>Biais algorithmiques (ex. surexposition des artistes populaires)</w:t>
            </w:r>
          </w:p>
        </w:tc>
        <w:tc>
          <w:tcPr>
            <w:tcW w:type="dxa" w:w="1587"/>
          </w:tcPr>
          <w:p>
            <w:pPr>
              <w:keepNext/>
              <w:spacing w:after="20" w:before="0" w:line="240" w:lineRule="auto"/>
            </w:pPr>
            <w:r/>
            <w:r>
              <w:rPr>
                <w:sz w:val="16"/>
              </w:rPr>
              <w:t>Biais / éthique</w:t>
            </w:r>
          </w:p>
        </w:tc>
        <w:tc>
          <w:tcPr>
            <w:tcW w:type="dxa" w:w="510"/>
          </w:tcPr>
          <w:p>
            <w:pPr>
              <w:keepNext/>
              <w:spacing w:after="20" w:before="0" w:line="240" w:lineRule="auto"/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510"/>
          </w:tcPr>
          <w:p>
            <w:pPr>
              <w:keepNext/>
              <w:spacing w:after="20" w:before="0" w:line="240" w:lineRule="auto"/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794"/>
          </w:tcPr>
          <w:p>
            <w:pPr>
              <w:keepNext/>
              <w:spacing w:after="20" w:before="0" w:line="240" w:lineRule="auto"/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247"/>
            <w:shd w:val="clear" w:color="auto" w:fill="FFE9A8"/>
          </w:tcPr>
          <w:p>
            <w:pPr>
              <w:keepNext/>
              <w:spacing w:after="20" w:before="0" w:line="240" w:lineRule="auto"/>
              <w:jc w:val="center"/>
            </w:pPr>
            <w:r>
              <w:rPr>
                <w:b/>
                <w:color w:val="6B5200"/>
              </w:rPr>
            </w:r>
            <w:r>
              <w:rPr>
                <w:b/>
                <w:color w:val="6B5200"/>
                <w:sz w:val="16"/>
              </w:rPr>
              <w:t>Moyenne</w:t>
            </w:r>
          </w:p>
        </w:tc>
      </w:tr>
      <w:tr>
        <w:trPr>
          <w:cantSplit/>
        </w:trPr>
        <w:tc>
          <w:tcPr>
            <w:tcW w:type="dxa" w:w="4422"/>
          </w:tcPr>
          <w:p>
            <w:pPr>
              <w:spacing w:after="20" w:before="0" w:line="240" w:lineRule="auto"/>
            </w:pPr>
            <w:r/>
            <w:r>
              <w:rPr>
                <w:sz w:val="16"/>
              </w:rPr>
              <w:t>Non-conformité PCI-DSS (stockage des cartes)</w:t>
            </w:r>
          </w:p>
        </w:tc>
        <w:tc>
          <w:tcPr>
            <w:tcW w:type="dxa" w:w="1587"/>
          </w:tcPr>
          <w:p>
            <w:pPr>
              <w:spacing w:after="20" w:before="0" w:line="240" w:lineRule="auto"/>
            </w:pPr>
            <w:r/>
            <w:r>
              <w:rPr>
                <w:sz w:val="16"/>
              </w:rPr>
              <w:t>Sécurité</w:t>
            </w:r>
          </w:p>
        </w:tc>
        <w:tc>
          <w:tcPr>
            <w:tcW w:type="dxa" w:w="510"/>
          </w:tcPr>
          <w:p>
            <w:pPr>
              <w:spacing w:after="20" w:before="0" w:line="240" w:lineRule="auto"/>
              <w:jc w:val="center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510"/>
          </w:tcPr>
          <w:p>
            <w:pPr>
              <w:spacing w:after="20" w:before="0" w:line="240" w:lineRule="auto"/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794"/>
          </w:tcPr>
          <w:p>
            <w:pPr>
              <w:spacing w:after="20" w:before="0" w:line="240" w:lineRule="auto"/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247"/>
            <w:shd w:val="clear" w:color="auto" w:fill="D5ECD9"/>
          </w:tcPr>
          <w:p>
            <w:pPr>
              <w:spacing w:after="20" w:before="0" w:line="240" w:lineRule="auto"/>
              <w:jc w:val="center"/>
            </w:pPr>
            <w:r>
              <w:rPr>
                <w:b/>
                <w:color w:val="1F5C2E"/>
              </w:rPr>
            </w:r>
            <w:r>
              <w:rPr>
                <w:b/>
                <w:color w:val="1F5C2E"/>
                <w:sz w:val="16"/>
              </w:rPr>
              <w:t>Faible</w:t>
            </w:r>
          </w:p>
        </w:tc>
      </w:tr>
    </w:tbl>
    <w:p>
      <w:pPr>
        <w:spacing w:after="80" w:before="0" w:line="80" w:lineRule="exact"/>
      </w:pPr>
    </w:p>
    <w:p>
      <w:pPr>
        <w:spacing w:after="0" w:before="0"/>
        <w:jc w:val="both"/>
      </w:pPr>
      <w:r>
        <w:rPr>
          <w:b/>
          <w:sz w:val="19"/>
        </w:rPr>
        <w:t>Priorités retenues :</w:t>
      </w:r>
      <w:r>
        <w:rPr>
          <w:sz w:val="19"/>
        </w:rPr>
        <w:t xml:space="preserve"> conformité des données personnelles, sécurité et contrôle des accès, puis qualité et silos. Elles orientent le choix du pilote et l'ordre de déploiement du plan.</w:t>
      </w:r>
    </w:p>
    <w:sectPr w:rsidR="008E62A3" w:rsidRPr="008E62A3" w:rsidSect="00D43885">
      <w:footerReference w:type="first" r:id="rId8"/>
      <w:footerReference w:type="default" r:id="rId12"/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65A60D" w14:textId="77777777" w:rsidR="00194294" w:rsidRDefault="00194294" w:rsidP="00C80768">
      <w:pPr>
        <w:spacing w:after="0" w:line="240" w:lineRule="auto"/>
      </w:pPr>
      <w:r>
        <w:separator/>
      </w:r>
    </w:p>
  </w:endnote>
  <w:endnote w:type="continuationSeparator" w:id="0">
    <w:p w14:paraId="62D1F2E2" w14:textId="77777777" w:rsidR="00194294" w:rsidRDefault="00194294" w:rsidP="00C807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FC1239" w14:textId="0EC98987" w:rsidR="008E62A3" w:rsidRPr="00676B86" w:rsidRDefault="00676B86">
    <w:pPr>
      <w:pStyle w:val="Pieddepage"/>
      <w:rPr>
        <w:color w:val="1A7197" w:themeColor="text2"/>
      </w:rPr>
    </w:pPr>
    <w:r w:rsidRPr="00676B86">
      <w:rPr>
        <w:color w:val="1A7197" w:themeColor="text2"/>
      </w:rPr>
      <w:t>Certification Architecte en Intelligence Artificielle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B7C85"/>
        <w:sz w:val="16"/>
      </w:rPr>
      <w:t xml:space="preserve">Spotify – Plan de gouvernance des données  |  page </w:t>
    </w:r>
    <w:r>
      <w:rPr>
        <w:color w:val="6B7C85"/>
        <w:sz w:val="16"/>
      </w:rPr>
      <w:fldChar w:fldCharType="begin"/>
    </w:r>
    <w:r>
      <w:rPr>
        <w:color w:val="6B7C85"/>
        <w:sz w:val="16"/>
      </w:rPr>
      <w:instrText xml:space="preserve"> PAGE </w:instrText>
    </w:r>
    <w:r>
      <w:rPr>
        <w:color w:val="6B7C85"/>
        <w:sz w:val="16"/>
      </w:rPr>
      <w:fldChar w:fldCharType="separate"/>
    </w:r>
    <w:r>
      <w:rPr>
        <w:color w:val="6B7C85"/>
        <w:sz w:val="16"/>
      </w:rPr>
      <w:t>1</w:t>
    </w:r>
    <w:r>
      <w:rPr>
        <w:color w:val="6B7C85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7688C2" w14:textId="77777777" w:rsidR="00194294" w:rsidRDefault="00194294" w:rsidP="00C80768">
      <w:pPr>
        <w:spacing w:after="0" w:line="240" w:lineRule="auto"/>
      </w:pPr>
      <w:r>
        <w:separator/>
      </w:r>
    </w:p>
  </w:footnote>
  <w:footnote w:type="continuationSeparator" w:id="0">
    <w:p w14:paraId="5BF8FDDD" w14:textId="77777777" w:rsidR="00194294" w:rsidRDefault="00194294" w:rsidP="00C8076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626A28"/>
    <w:multiLevelType w:val="hybridMultilevel"/>
    <w:tmpl w:val="3328FE4C"/>
    <w:lvl w:ilvl="0" w:tplc="197E6DB4">
      <w:numFmt w:val="bullet"/>
      <w:lvlText w:val="-"/>
      <w:lvlJc w:val="left"/>
      <w:pPr>
        <w:ind w:left="410" w:hanging="360"/>
      </w:pPr>
      <w:rPr>
        <w:rFonts w:ascii="Calibri" w:eastAsiaTheme="minorEastAsia" w:hAnsi="Calibri" w:cs="Calibri" w:hint="default"/>
      </w:rPr>
    </w:lvl>
    <w:lvl w:ilvl="1" w:tplc="040C0003">
      <w:start w:val="1"/>
      <w:numFmt w:val="bullet"/>
      <w:lvlText w:val="o"/>
      <w:lvlJc w:val="left"/>
      <w:pPr>
        <w:ind w:left="113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85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7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9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1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3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5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70" w:hanging="360"/>
      </w:pPr>
      <w:rPr>
        <w:rFonts w:ascii="Wingdings" w:hAnsi="Wingdings" w:hint="default"/>
      </w:rPr>
    </w:lvl>
  </w:abstractNum>
  <w:abstractNum w:abstractNumId="1" w15:restartNumberingAfterBreak="0">
    <w:nsid w:val="260E3364"/>
    <w:multiLevelType w:val="multilevel"/>
    <w:tmpl w:val="3328FE4C"/>
    <w:numStyleLink w:val="StyleListe"/>
  </w:abstractNum>
  <w:abstractNum w:abstractNumId="2" w15:restartNumberingAfterBreak="0">
    <w:nsid w:val="2A095B90"/>
    <w:multiLevelType w:val="multilevel"/>
    <w:tmpl w:val="3328FE4C"/>
    <w:styleLink w:val="StyleListe"/>
    <w:lvl w:ilvl="0">
      <w:numFmt w:val="bullet"/>
      <w:lvlText w:val=""/>
      <w:lvlJc w:val="left"/>
      <w:pPr>
        <w:ind w:left="410" w:hanging="360"/>
      </w:pPr>
      <w:rPr>
        <w:rFonts w:ascii="Symbol" w:eastAsiaTheme="minorEastAsia" w:hAnsi="Symbol" w:hint="default"/>
        <w:color w:val="3FDAD2" w:themeColor="accent1"/>
      </w:rPr>
    </w:lvl>
    <w:lvl w:ilvl="1">
      <w:start w:val="1"/>
      <w:numFmt w:val="bullet"/>
      <w:lvlText w:val="-"/>
      <w:lvlJc w:val="left"/>
      <w:pPr>
        <w:ind w:left="1130" w:hanging="360"/>
      </w:pPr>
      <w:rPr>
        <w:rFonts w:ascii="Arial" w:hAnsi="Arial" w:hint="default"/>
        <w:color w:val="1A7197" w:themeColor="text2"/>
      </w:rPr>
    </w:lvl>
    <w:lvl w:ilvl="2">
      <w:start w:val="1"/>
      <w:numFmt w:val="bullet"/>
      <w:lvlText w:val=""/>
      <w:lvlJc w:val="left"/>
      <w:pPr>
        <w:ind w:left="1850" w:hanging="360"/>
      </w:pPr>
      <w:rPr>
        <w:rFonts w:ascii="Wingdings" w:hAnsi="Wingdings" w:hint="default"/>
        <w:color w:val="3FDAD2" w:themeColor="accent1"/>
      </w:rPr>
    </w:lvl>
    <w:lvl w:ilvl="3">
      <w:start w:val="1"/>
      <w:numFmt w:val="bullet"/>
      <w:lvlText w:val=""/>
      <w:lvlJc w:val="left"/>
      <w:pPr>
        <w:ind w:left="257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9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01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73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5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70" w:hanging="360"/>
      </w:pPr>
      <w:rPr>
        <w:rFonts w:ascii="Wingdings" w:hAnsi="Wingdings" w:hint="default"/>
      </w:rPr>
    </w:lvl>
  </w:abstractNum>
  <w:abstractNum w:abstractNumId="3" w15:restartNumberingAfterBreak="0">
    <w:nsid w:val="32B75FCB"/>
    <w:multiLevelType w:val="multilevel"/>
    <w:tmpl w:val="3328FE4C"/>
    <w:numStyleLink w:val="StyleListe"/>
  </w:abstractNum>
  <w:abstractNum w:abstractNumId="4" w15:restartNumberingAfterBreak="0">
    <w:nsid w:val="79D66001"/>
    <w:multiLevelType w:val="multilevel"/>
    <w:tmpl w:val="040C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303432416">
    <w:abstractNumId w:val="0"/>
  </w:num>
  <w:num w:numId="2" w16cid:durableId="362875197">
    <w:abstractNumId w:val="2"/>
  </w:num>
  <w:num w:numId="3" w16cid:durableId="2111462099">
    <w:abstractNumId w:val="1"/>
  </w:num>
  <w:num w:numId="4" w16cid:durableId="1674335281">
    <w:abstractNumId w:val="3"/>
  </w:num>
  <w:num w:numId="5" w16cid:durableId="157026570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2DF"/>
    <w:rsid w:val="00194294"/>
    <w:rsid w:val="002B4AEB"/>
    <w:rsid w:val="0030171F"/>
    <w:rsid w:val="00342D17"/>
    <w:rsid w:val="00507D2D"/>
    <w:rsid w:val="006262DF"/>
    <w:rsid w:val="00676B86"/>
    <w:rsid w:val="006B0366"/>
    <w:rsid w:val="006E62A8"/>
    <w:rsid w:val="007E2F1A"/>
    <w:rsid w:val="00811D44"/>
    <w:rsid w:val="008E62A3"/>
    <w:rsid w:val="00914078"/>
    <w:rsid w:val="00941432"/>
    <w:rsid w:val="00952006"/>
    <w:rsid w:val="00A55BEC"/>
    <w:rsid w:val="00AD0C51"/>
    <w:rsid w:val="00B56EA2"/>
    <w:rsid w:val="00C6623C"/>
    <w:rsid w:val="00C80768"/>
    <w:rsid w:val="00CD46DA"/>
    <w:rsid w:val="00D43885"/>
    <w:rsid w:val="00D91AD7"/>
    <w:rsid w:val="00DD5E16"/>
    <w:rsid w:val="00F05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619EBE4"/>
  <w15:chartTrackingRefBased/>
  <w15:docId w15:val="{D21A34FF-6ED8-43DA-8A74-248E68E029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2D17"/>
    <w:rPr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A55BEC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smallCaps/>
      <w:color w:val="22B0A8" w:themeColor="accent1" w:themeShade="BF"/>
      <w:sz w:val="36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E62A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7197" w:themeColor="text2"/>
      <w:sz w:val="32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6E62A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FDAD2" w:themeColor="accent1"/>
      <w:sz w:val="28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A55BEC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2683C6" w:themeColor="accent2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42D17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6756F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42D17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6756F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42D17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2192C3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42D17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3FDAD2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42D17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2192C3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55BEC"/>
    <w:rPr>
      <w:rFonts w:asciiTheme="majorHAnsi" w:eastAsiaTheme="majorEastAsia" w:hAnsiTheme="majorHAnsi" w:cstheme="majorBidi"/>
      <w:b/>
      <w:bCs/>
      <w:smallCaps/>
      <w:color w:val="22B0A8" w:themeColor="accent1" w:themeShade="BF"/>
      <w:sz w:val="36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6E62A8"/>
    <w:rPr>
      <w:rFonts w:asciiTheme="majorHAnsi" w:eastAsiaTheme="majorEastAsia" w:hAnsiTheme="majorHAnsi" w:cstheme="majorBidi"/>
      <w:b/>
      <w:bCs/>
      <w:color w:val="1A7197" w:themeColor="text2"/>
      <w:sz w:val="32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6E62A8"/>
    <w:rPr>
      <w:rFonts w:asciiTheme="majorHAnsi" w:eastAsiaTheme="majorEastAsia" w:hAnsiTheme="majorHAnsi" w:cstheme="majorBidi"/>
      <w:b/>
      <w:bCs/>
      <w:color w:val="3FDAD2" w:themeColor="accent1"/>
      <w:sz w:val="28"/>
    </w:rPr>
  </w:style>
  <w:style w:type="character" w:customStyle="1" w:styleId="Titre4Car">
    <w:name w:val="Titre 4 Car"/>
    <w:basedOn w:val="Policepardfaut"/>
    <w:link w:val="Titre4"/>
    <w:uiPriority w:val="9"/>
    <w:rsid w:val="00A55BEC"/>
    <w:rPr>
      <w:rFonts w:asciiTheme="majorHAnsi" w:eastAsiaTheme="majorEastAsia" w:hAnsiTheme="majorHAnsi" w:cstheme="majorBidi"/>
      <w:b/>
      <w:bCs/>
      <w:i/>
      <w:iCs/>
      <w:color w:val="2683C6" w:themeColor="accent2"/>
    </w:rPr>
  </w:style>
  <w:style w:type="character" w:customStyle="1" w:styleId="Titre5Car">
    <w:name w:val="Titre 5 Car"/>
    <w:basedOn w:val="Policepardfaut"/>
    <w:link w:val="Titre5"/>
    <w:uiPriority w:val="9"/>
    <w:semiHidden/>
    <w:rsid w:val="00342D17"/>
    <w:rPr>
      <w:rFonts w:asciiTheme="majorHAnsi" w:eastAsiaTheme="majorEastAsia" w:hAnsiTheme="majorHAnsi" w:cstheme="majorBidi"/>
      <w:color w:val="16756F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342D17"/>
    <w:rPr>
      <w:rFonts w:asciiTheme="majorHAnsi" w:eastAsiaTheme="majorEastAsia" w:hAnsiTheme="majorHAnsi" w:cstheme="majorBidi"/>
      <w:i/>
      <w:iCs/>
      <w:color w:val="16756F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342D17"/>
    <w:rPr>
      <w:rFonts w:asciiTheme="majorHAnsi" w:eastAsiaTheme="majorEastAsia" w:hAnsiTheme="majorHAnsi" w:cstheme="majorBidi"/>
      <w:i/>
      <w:iCs/>
      <w:color w:val="2192C3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342D17"/>
    <w:rPr>
      <w:rFonts w:asciiTheme="majorHAnsi" w:eastAsiaTheme="majorEastAsia" w:hAnsiTheme="majorHAnsi" w:cstheme="majorBidi"/>
      <w:color w:val="3FDAD2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342D17"/>
    <w:rPr>
      <w:rFonts w:asciiTheme="majorHAnsi" w:eastAsiaTheme="majorEastAsia" w:hAnsiTheme="majorHAnsi" w:cstheme="majorBidi"/>
      <w:i/>
      <w:iCs/>
      <w:color w:val="2192C3" w:themeColor="text1" w:themeTint="BF"/>
      <w:sz w:val="20"/>
      <w:szCs w:val="20"/>
    </w:rPr>
  </w:style>
  <w:style w:type="paragraph" w:styleId="Titre">
    <w:name w:val="Title"/>
    <w:basedOn w:val="Normal"/>
    <w:next w:val="Normal"/>
    <w:link w:val="TitreCar"/>
    <w:uiPriority w:val="10"/>
    <w:qFormat/>
    <w:rsid w:val="00A55BEC"/>
    <w:pPr>
      <w:pBdr>
        <w:bottom w:val="single" w:sz="8" w:space="4" w:color="3FDAD2" w:themeColor="accent1"/>
      </w:pBdr>
      <w:spacing w:after="480" w:line="240" w:lineRule="auto"/>
      <w:contextualSpacing/>
      <w:outlineLvl w:val="0"/>
    </w:pPr>
    <w:rPr>
      <w:rFonts w:asciiTheme="majorHAnsi" w:eastAsiaTheme="majorEastAsia" w:hAnsiTheme="majorHAnsi" w:cstheme="majorBidi"/>
      <w:b/>
      <w:smallCaps/>
      <w:color w:val="135470" w:themeColor="text2" w:themeShade="BF"/>
      <w:spacing w:val="5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A55BEC"/>
    <w:rPr>
      <w:rFonts w:asciiTheme="majorHAnsi" w:eastAsiaTheme="majorEastAsia" w:hAnsiTheme="majorHAnsi" w:cstheme="majorBidi"/>
      <w:b/>
      <w:smallCaps/>
      <w:color w:val="135470" w:themeColor="text2" w:themeShade="BF"/>
      <w:spacing w:val="5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42D17"/>
    <w:pPr>
      <w:numPr>
        <w:ilvl w:val="1"/>
      </w:numPr>
    </w:pPr>
    <w:rPr>
      <w:rFonts w:asciiTheme="majorHAnsi" w:eastAsiaTheme="majorEastAsia" w:hAnsiTheme="majorHAnsi" w:cstheme="majorBidi"/>
      <w:i/>
      <w:iCs/>
      <w:color w:val="3FDAD2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342D17"/>
    <w:rPr>
      <w:rFonts w:asciiTheme="majorHAnsi" w:eastAsiaTheme="majorEastAsia" w:hAnsiTheme="majorHAnsi" w:cstheme="majorBidi"/>
      <w:i/>
      <w:iCs/>
      <w:color w:val="3FDAD2" w:themeColor="accent1"/>
      <w:spacing w:val="15"/>
      <w:sz w:val="24"/>
      <w:szCs w:val="24"/>
    </w:rPr>
  </w:style>
  <w:style w:type="paragraph" w:styleId="Citation">
    <w:name w:val="Quote"/>
    <w:basedOn w:val="Normal"/>
    <w:next w:val="Normal"/>
    <w:link w:val="CitationCar"/>
    <w:uiPriority w:val="29"/>
    <w:qFormat/>
    <w:rsid w:val="00342D17"/>
    <w:rPr>
      <w:i/>
      <w:iCs/>
      <w:color w:val="145774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342D17"/>
    <w:rPr>
      <w:i/>
      <w:iCs/>
      <w:color w:val="145774" w:themeColor="text1"/>
    </w:rPr>
  </w:style>
  <w:style w:type="paragraph" w:styleId="Paragraphedeliste">
    <w:name w:val="List Paragraph"/>
    <w:basedOn w:val="Normal"/>
    <w:uiPriority w:val="34"/>
    <w:qFormat/>
    <w:rsid w:val="006262D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42D17"/>
    <w:rPr>
      <w:b/>
      <w:bCs/>
      <w:i/>
      <w:iCs/>
      <w:color w:val="3FDAD2" w:themeColor="accent1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42D17"/>
    <w:pPr>
      <w:pBdr>
        <w:bottom w:val="single" w:sz="4" w:space="4" w:color="3FDAD2" w:themeColor="accent1"/>
      </w:pBdr>
      <w:spacing w:before="200" w:after="280"/>
      <w:ind w:left="936" w:right="936"/>
    </w:pPr>
    <w:rPr>
      <w:b/>
      <w:bCs/>
      <w:i/>
      <w:iCs/>
      <w:color w:val="3FDAD2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42D17"/>
    <w:rPr>
      <w:b/>
      <w:bCs/>
      <w:i/>
      <w:iCs/>
      <w:color w:val="3FDAD2" w:themeColor="accent1"/>
    </w:rPr>
  </w:style>
  <w:style w:type="character" w:styleId="Rfrenceintense">
    <w:name w:val="Intense Reference"/>
    <w:basedOn w:val="Policepardfaut"/>
    <w:uiPriority w:val="32"/>
    <w:qFormat/>
    <w:rsid w:val="00342D17"/>
    <w:rPr>
      <w:b/>
      <w:bCs/>
      <w:smallCaps/>
      <w:color w:val="2683C6" w:themeColor="accent2"/>
      <w:spacing w:val="5"/>
      <w:u w:val="single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342D17"/>
    <w:pPr>
      <w:spacing w:line="240" w:lineRule="auto"/>
    </w:pPr>
    <w:rPr>
      <w:b/>
      <w:bCs/>
      <w:color w:val="3FDAD2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342D17"/>
    <w:rPr>
      <w:b/>
      <w:bCs/>
    </w:rPr>
  </w:style>
  <w:style w:type="character" w:styleId="Accentuation">
    <w:name w:val="Emphasis"/>
    <w:basedOn w:val="Policepardfaut"/>
    <w:uiPriority w:val="20"/>
    <w:qFormat/>
    <w:rsid w:val="00342D17"/>
    <w:rPr>
      <w:i/>
      <w:iCs/>
    </w:rPr>
  </w:style>
  <w:style w:type="paragraph" w:styleId="Sansinterligne">
    <w:name w:val="No Spacing"/>
    <w:link w:val="SansinterligneCar"/>
    <w:uiPriority w:val="1"/>
    <w:qFormat/>
    <w:rsid w:val="00342D17"/>
    <w:pPr>
      <w:spacing w:after="0" w:line="240" w:lineRule="auto"/>
    </w:pPr>
  </w:style>
  <w:style w:type="character" w:styleId="Accentuationlgre">
    <w:name w:val="Subtle Emphasis"/>
    <w:basedOn w:val="Policepardfaut"/>
    <w:uiPriority w:val="19"/>
    <w:qFormat/>
    <w:rsid w:val="00342D17"/>
    <w:rPr>
      <w:i/>
      <w:iCs/>
      <w:color w:val="60BBE3" w:themeColor="text1" w:themeTint="7F"/>
    </w:rPr>
  </w:style>
  <w:style w:type="character" w:styleId="Rfrencelgre">
    <w:name w:val="Subtle Reference"/>
    <w:basedOn w:val="Policepardfaut"/>
    <w:uiPriority w:val="31"/>
    <w:qFormat/>
    <w:rsid w:val="00342D17"/>
    <w:rPr>
      <w:smallCaps/>
      <w:color w:val="2683C6" w:themeColor="accent2"/>
      <w:u w:val="single"/>
    </w:rPr>
  </w:style>
  <w:style w:type="character" w:styleId="Titredulivre">
    <w:name w:val="Book Title"/>
    <w:basedOn w:val="Policepardfaut"/>
    <w:uiPriority w:val="33"/>
    <w:qFormat/>
    <w:rsid w:val="00342D17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342D17"/>
    <w:pPr>
      <w:outlineLvl w:val="9"/>
    </w:pPr>
  </w:style>
  <w:style w:type="numbering" w:customStyle="1" w:styleId="StyleListe">
    <w:name w:val="StyleListe"/>
    <w:uiPriority w:val="99"/>
    <w:rsid w:val="006E62A8"/>
    <w:pPr>
      <w:numPr>
        <w:numId w:val="2"/>
      </w:numPr>
    </w:pPr>
  </w:style>
  <w:style w:type="paragraph" w:styleId="En-tte">
    <w:name w:val="header"/>
    <w:basedOn w:val="Normal"/>
    <w:link w:val="En-tteCar"/>
    <w:uiPriority w:val="99"/>
    <w:unhideWhenUsed/>
    <w:rsid w:val="00C8076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80768"/>
  </w:style>
  <w:style w:type="paragraph" w:styleId="Pieddepage">
    <w:name w:val="footer"/>
    <w:basedOn w:val="Normal"/>
    <w:link w:val="PieddepageCar"/>
    <w:uiPriority w:val="99"/>
    <w:unhideWhenUsed/>
    <w:rsid w:val="00C8076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80768"/>
  </w:style>
  <w:style w:type="character" w:customStyle="1" w:styleId="SansinterligneCar">
    <w:name w:val="Sans interligne Car"/>
    <w:basedOn w:val="Policepardfaut"/>
    <w:link w:val="Sansinterligne"/>
    <w:uiPriority w:val="1"/>
    <w:rsid w:val="00D43885"/>
  </w:style>
  <w:style w:type="paragraph" w:styleId="TM1">
    <w:name w:val="toc 1"/>
    <w:basedOn w:val="Normal"/>
    <w:next w:val="Normal"/>
    <w:autoRedefine/>
    <w:uiPriority w:val="39"/>
    <w:unhideWhenUsed/>
    <w:rsid w:val="006B0366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6B0366"/>
    <w:pPr>
      <w:spacing w:after="100"/>
      <w:ind w:left="220"/>
    </w:pPr>
  </w:style>
  <w:style w:type="paragraph" w:styleId="TM3">
    <w:name w:val="toc 3"/>
    <w:basedOn w:val="Normal"/>
    <w:next w:val="Normal"/>
    <w:autoRedefine/>
    <w:uiPriority w:val="39"/>
    <w:unhideWhenUsed/>
    <w:rsid w:val="006B0366"/>
    <w:pPr>
      <w:spacing w:after="100"/>
      <w:ind w:left="440"/>
    </w:pPr>
  </w:style>
  <w:style w:type="character" w:styleId="Lienhypertexte">
    <w:name w:val="Hyperlink"/>
    <w:basedOn w:val="Policepardfaut"/>
    <w:uiPriority w:val="99"/>
    <w:unhideWhenUsed/>
    <w:rsid w:val="006B0366"/>
    <w:rPr>
      <w:color w:val="0F4259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1.png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JedhaSHY">
  <a:themeElements>
    <a:clrScheme name="Jedha_SHY">
      <a:dk1>
        <a:srgbClr val="145774"/>
      </a:dk1>
      <a:lt1>
        <a:sysClr val="window" lastClr="FFFFFF"/>
      </a:lt1>
      <a:dk2>
        <a:srgbClr val="1A7197"/>
      </a:dk2>
      <a:lt2>
        <a:srgbClr val="E8F4FF"/>
      </a:lt2>
      <a:accent1>
        <a:srgbClr val="3FDAD2"/>
      </a:accent1>
      <a:accent2>
        <a:srgbClr val="2683C6"/>
      </a:accent2>
      <a:accent3>
        <a:srgbClr val="C3FFFC"/>
      </a:accent3>
      <a:accent4>
        <a:srgbClr val="FFDB79"/>
      </a:accent4>
      <a:accent5>
        <a:srgbClr val="318B71"/>
      </a:accent5>
      <a:accent6>
        <a:srgbClr val="A0C7C5"/>
      </a:accent6>
      <a:hlink>
        <a:srgbClr val="0F4259"/>
      </a:hlink>
      <a:folHlink>
        <a:srgbClr val="FFDB79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2DFA21-2AE3-4AE5-84BE-9222E566A9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3</Pages>
  <Words>48</Words>
  <Characters>270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Concevoir et piloter la gouvernance des données</vt:lpstr>
    </vt:vector>
  </TitlesOfParts>
  <Company/>
  <LinksUpToDate>false</LinksUpToDate>
  <CharactersWithSpaces>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Rapport d'analyse : niveau de maturité des données</dc:title>
  <dc:subject>Projet Spotify – Bloc 1</dc:subject>
  <dc:creator>Sandrine Hardy</dc:creator>
  <cp:keywords/>
  <dc:description/>
  <cp:lastModifiedBy>Sandrine Hardy</cp:lastModifiedBy>
  <cp:revision>4</cp:revision>
  <dcterms:created xsi:type="dcterms:W3CDTF">2026-02-20T13:03:00Z</dcterms:created>
  <dcterms:modified xsi:type="dcterms:W3CDTF">2026-02-20T14:53:00Z</dcterms:modified>
</cp:coreProperties>
</file>