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9663"/>
            <w:shd w:fill="002B49"/>
            <w:tcMar>
              <w:top w:w="280" w:type="dxa"/>
              <w:bottom w:w="280" w:type="dxa"/>
              <w:left w:w="280" w:type="dxa"/>
              <w:right w:w="280" w:type="dxa"/>
            </w:tcMar>
          </w:tcPr>
          <w:p>
            <w:pPr>
              <w:spacing w:after="80"/>
              <w:jc w:val="center"/>
            </w:pPr>
            <w:r>
              <w:rPr>
                <w:rFonts w:ascii="Arial" w:hAnsi="Arial"/>
                <w:b/>
                <w:i w:val="0"/>
                <w:color w:val="FFFFFF"/>
                <w:sz w:val="40"/>
              </w:rPr>
              <w:t>RELATÓRIO DE ENGENHARIA REVERSA E ANÁLISE DE SISTEMAS</w:t>
            </w:r>
          </w:p>
          <w:p>
            <w:pPr>
              <w:spacing w:after="0"/>
              <w:jc w:val="center"/>
            </w:pPr>
            <w:r>
              <w:rPr>
                <w:rFonts w:ascii="Arial" w:hAnsi="Arial"/>
                <w:b/>
                <w:i w:val="0"/>
                <w:color w:val="0077B5"/>
                <w:sz w:val="22"/>
              </w:rPr>
              <w:t>Saneamento Estrutural e Homologação do Ecossistema Relacional "Financial"</w:t>
            </w:r>
          </w:p>
        </w:tc>
      </w:tr>
    </w:tbl>
    <w:p>
      <w:pPr>
        <w:spacing w:before="280" w:after="400"/>
        <w:jc w:val="right"/>
      </w:pPr>
      <w:r>
        <w:rPr>
          <w:rFonts w:ascii="Arial" w:hAnsi="Arial"/>
          <w:b w:val="0"/>
          <w:i w:val="0"/>
          <w:color w:val="718096"/>
          <w:sz w:val="18"/>
        </w:rPr>
        <w:t>Código do Documento: RT-ENG-2026-FIN01</w:t>
        <w:br/>
        <w:t>Data de Emissão: Maio de 2026</w:t>
        <w:br/>
        <w:t>Status de Auditoria: Aprovado / Homologado</w:t>
      </w:r>
    </w:p>
    <w:p>
      <w:pPr>
        <w:keepNext/>
        <w:spacing w:before="360" w:after="120"/>
        <w:pBdr>
          <w:bottom w:val="single" w:sz="12" w:space="4" w:color="002B49"/>
        </w:pBdr>
      </w:pPr>
      <w:r>
        <w:rPr>
          <w:rFonts w:ascii="Arial" w:hAnsi="Arial"/>
          <w:b/>
          <w:i w:val="0"/>
          <w:color w:val="002B49"/>
          <w:sz w:val="36"/>
        </w:rPr>
        <w:t>1. Sumário Executivo e Escopo do Projeto</w:t>
      </w:r>
    </w:p>
    <w:p>
      <w:pPr>
        <w:spacing w:after="200" w:line="276" w:lineRule="auto"/>
        <w:jc w:val="both"/>
      </w:pPr>
      <w:r>
        <w:rPr>
          <w:rFonts w:ascii="Arial" w:hAnsi="Arial"/>
          <w:b w:val="0"/>
          <w:i w:val="0"/>
          <w:color w:val="2D3748"/>
          <w:sz w:val="21"/>
        </w:rPr>
        <w:t>Este memorial descritivo consolida os artefatos técnicos, decisões de arquitetura e metodologias de engenharia de software empregadas no mapeamento, extração, tratamento e re-ingestão de dados históricos corporativos no ecossistema denominado financial. O projeto teve como objetivo principal solucionar falhas críticas latentes em nível de persistência de dados legados, convertendo um ambiente sem chaves relacionais em uma base de dados relacional íntegra estruturada sobre o motor PostgreSQL.</w:t>
      </w:r>
    </w:p>
    <w:p>
      <w:pPr>
        <w:keepNext/>
        <w:spacing w:before="360" w:after="120"/>
        <w:pBdr>
          <w:bottom w:val="single" w:sz="12" w:space="4" w:color="002B49"/>
        </w:pBdr>
      </w:pPr>
      <w:r>
        <w:rPr>
          <w:rFonts w:ascii="Arial" w:hAnsi="Arial"/>
          <w:b/>
          <w:i w:val="0"/>
          <w:color w:val="002B49"/>
          <w:sz w:val="36"/>
        </w:rPr>
        <w:t>2. Engenharia de Requisitos Aplicada</w:t>
      </w:r>
    </w:p>
    <w:p>
      <w:pPr>
        <w:spacing w:after="200" w:line="276" w:lineRule="auto"/>
        <w:jc w:val="both"/>
      </w:pPr>
      <w:r>
        <w:rPr>
          <w:rFonts w:ascii="Arial" w:hAnsi="Arial"/>
          <w:b w:val="0"/>
          <w:i w:val="0"/>
          <w:color w:val="2D3748"/>
          <w:sz w:val="21"/>
        </w:rPr>
        <w:t>Para assegurar que as correções estruturais fossem executadas sob total controle e rastreabilidade, os problemas identificados na operação foram convertidos em Requisitos Funcionais (RF) e Não Funcionais (RNF) formais de software:</w:t>
      </w:r>
    </w:p>
    <w:p>
      <w:pPr>
        <w:spacing w:before="80" w:after="200"/>
        <w:ind w:left="360"/>
        <w:pBdr>
          <w:left w:val="single" w:sz="24" w:space="8" w:color="0077B5"/>
        </w:pBdr>
        <w:shd w:fill="F7FAFC"/>
      </w:pPr>
      <w:r>
        <w:rPr>
          <w:rFonts w:ascii="Arial" w:hAnsi="Arial"/>
          <w:b/>
          <w:i w:val="0"/>
          <w:color w:val="002B49"/>
          <w:sz w:val="22"/>
        </w:rPr>
        <w:t>[RF01] Deduplicação Transacional Lógica</w:t>
        <w:br/>
      </w:r>
      <w:r>
        <w:rPr>
          <w:rFonts w:ascii="Arial" w:hAnsi="Arial"/>
          <w:b w:val="0"/>
          <w:i w:val="0"/>
          <w:color w:val="2D3748"/>
          <w:sz w:val="20"/>
        </w:rPr>
        <w:t>Critério de Aceite: Identificar e expurgar registros transacionais espelhados resultantes de anomalias de concorrência ou falta de travas exclusivas (Unique Constraints) no ambiente legado. O algoritmo de seleção deve preservar obrigatoriamente a primeira ocorrência histórica íntegra para fins de manutenção do Data Lineage corporativo.</w:t>
      </w:r>
    </w:p>
    <w:p>
      <w:pPr>
        <w:spacing w:before="80" w:after="200"/>
        <w:ind w:left="360"/>
        <w:pBdr>
          <w:left w:val="single" w:sz="24" w:space="8" w:color="0077B5"/>
        </w:pBdr>
        <w:shd w:fill="F7FAFC"/>
      </w:pPr>
      <w:r>
        <w:rPr>
          <w:rFonts w:ascii="Arial" w:hAnsi="Arial"/>
          <w:b/>
          <w:i w:val="0"/>
          <w:color w:val="002B49"/>
          <w:sz w:val="22"/>
        </w:rPr>
        <w:t>[RF02] Validação de Chaves e Integridade Relacional</w:t>
        <w:br/>
      </w:r>
      <w:r>
        <w:rPr>
          <w:rFonts w:ascii="Arial" w:hAnsi="Arial"/>
          <w:b w:val="0"/>
          <w:i w:val="0"/>
          <w:color w:val="2D3748"/>
          <w:sz w:val="20"/>
        </w:rPr>
        <w:t>Critério de Aceite: Isolar e normalizar lançamentos financeiros que apontavam para entidades não cadastradas. O sistema deve estabelecer vínculos relacionais físicos estáveis, garantindo que registros órfãos sejam bloqueados nativamente pela camada de persistência.</w:t>
      </w:r>
    </w:p>
    <w:p>
      <w:pPr>
        <w:spacing w:before="80" w:after="200"/>
        <w:ind w:left="360"/>
        <w:pBdr>
          <w:left w:val="single" w:sz="24" w:space="8" w:color="0077B5"/>
        </w:pBdr>
        <w:shd w:fill="F7FAFC"/>
      </w:pPr>
      <w:r>
        <w:rPr>
          <w:rFonts w:ascii="Arial" w:hAnsi="Arial"/>
          <w:b/>
          <w:i w:val="0"/>
          <w:color w:val="002B49"/>
          <w:sz w:val="22"/>
        </w:rPr>
        <w:t>[RNF01] Precisão Numérica e Escala Centesimal</w:t>
        <w:br/>
      </w:r>
      <w:r>
        <w:rPr>
          <w:rFonts w:ascii="Arial" w:hAnsi="Arial"/>
          <w:b w:val="0"/>
          <w:i w:val="0"/>
          <w:color w:val="2D3748"/>
          <w:sz w:val="20"/>
        </w:rPr>
        <w:t>Critério de Aceite: Substituir tipos de dados numéricos de ponto flutuante binário por tipos numéricos de escala decimal exata fixa. Esta ação é mandatória para garantir a integridade de queries agregadas e conciliações contábeis, eliminando desvios gerados por dízimas periódicas.</w:t>
      </w:r>
    </w:p>
    <w:p>
      <w:pPr>
        <w:spacing w:before="80" w:after="200"/>
        <w:ind w:left="360"/>
        <w:pBdr>
          <w:left w:val="single" w:sz="24" w:space="8" w:color="0077B5"/>
        </w:pBdr>
        <w:shd w:fill="F7FAFC"/>
      </w:pPr>
      <w:r>
        <w:rPr>
          <w:rFonts w:ascii="Arial" w:hAnsi="Arial"/>
          <w:b/>
          <w:i w:val="0"/>
          <w:color w:val="002B49"/>
          <w:sz w:val="22"/>
        </w:rPr>
        <w:t>[RNF02] Rastreabilidade de Artefatos (DevSecOps)</w:t>
        <w:br/>
      </w:r>
      <w:r>
        <w:rPr>
          <w:rFonts w:ascii="Arial" w:hAnsi="Arial"/>
          <w:b w:val="0"/>
          <w:i w:val="0"/>
          <w:color w:val="2D3748"/>
          <w:sz w:val="20"/>
        </w:rPr>
        <w:t>Critério de Aceite: Todo o esquema de DDL (Data Definition Language) e scripts de migração DML devem ser empacotados em repositórios rastreáveis via controle de versão Git. A esteira de sincronização e autenticação deve ser provisionada em ambiente Linux Ubuntu por meio do utilitário de linha de comando seguro GitHub CLI (gh).</w:t>
      </w:r>
    </w:p>
    <w:p>
      <w:pPr>
        <w:keepNext/>
        <w:spacing w:before="360" w:after="120"/>
        <w:pBdr>
          <w:bottom w:val="single" w:sz="12" w:space="4" w:color="002B49"/>
        </w:pBdr>
      </w:pPr>
      <w:r>
        <w:rPr>
          <w:rFonts w:ascii="Arial" w:hAnsi="Arial"/>
          <w:b/>
          <w:i w:val="0"/>
          <w:color w:val="002B49"/>
          <w:sz w:val="36"/>
        </w:rPr>
        <w:t>3. Arquitetura Lógica do Pipeline de Dados (SDLC)</w:t>
      </w:r>
    </w:p>
    <w:p>
      <w:pPr>
        <w:spacing w:after="200" w:line="276" w:lineRule="auto"/>
        <w:jc w:val="both"/>
      </w:pPr>
      <w:r>
        <w:rPr>
          <w:rFonts w:ascii="Arial" w:hAnsi="Arial"/>
          <w:b w:val="0"/>
          <w:i w:val="0"/>
          <w:color w:val="2D3748"/>
          <w:sz w:val="21"/>
        </w:rPr>
        <w:t>O processo de movimentação e tratamento dos dados foi modelado seguindo as diretrizes clássicas de ciclo de vida de desenvolvimento de software, criando partições lógicas para evitar que a base operacional de produção sofresse interferências ou corrupção durante a purga dos dados históricos:</w:t>
      </w:r>
    </w:p>
    <w:tbl>
      <w:tblPr>
        <w:tblW w:type="auto" w:w="0"/>
        <w:jc w:val="center"/>
        <w:tblLayout w:type="fixed"/>
        <w:tblLook w:firstColumn="1" w:firstRow="1" w:lastColumn="0" w:lastRow="0" w:noHBand="0" w:noVBand="1" w:val="04A0"/>
      </w:tblPr>
      <w:tblGrid>
        <w:gridCol w:w="3168"/>
        <w:gridCol w:w="3168"/>
        <w:gridCol w:w="3168"/>
      </w:tblGrid>
      <w:tr>
        <w:tc>
          <w:tcPr>
            <w:tcW w:type="dxa" w:w="3221"/>
            <w:shd w:fill="2D3748"/>
            <w:tcMar>
              <w:top w:w="120" w:type="dxa"/>
              <w:bottom w:w="120" w:type="dxa"/>
              <w:left w:w="120" w:type="dxa"/>
              <w:right w:w="120" w:type="dxa"/>
            </w:tcMar>
          </w:tcPr>
          <w:p>
            <w:pPr>
              <w:spacing w:after="40"/>
              <w:jc w:val="center"/>
            </w:pPr>
            <w:r>
              <w:rPr>
                <w:rFonts w:ascii="Arial" w:hAnsi="Arial"/>
                <w:b/>
                <w:i w:val="0"/>
                <w:color w:val="FFFFFF"/>
                <w:sz w:val="19"/>
              </w:rPr>
              <w:t>1. Camada Legada (Raw)</w:t>
              <w:br/>
            </w:r>
            <w:r>
              <w:rPr>
                <w:rFonts w:ascii="Arial" w:hAnsi="Arial"/>
                <w:b w:val="0"/>
                <w:i w:val="0"/>
                <w:color w:val="E2E8F0"/>
                <w:sz w:val="17"/>
              </w:rPr>
              <w:t>Dados Fragmentados.</w:t>
              <w:br/>
              <w:t>Ausência de chaves lógicas e integridade referencial.</w:t>
            </w:r>
          </w:p>
        </w:tc>
        <w:tc>
          <w:tcPr>
            <w:tcW w:type="dxa" w:w="3221"/>
            <w:shd w:fill="232D3F"/>
            <w:tcMar>
              <w:top w:w="120" w:type="dxa"/>
              <w:bottom w:w="120" w:type="dxa"/>
              <w:left w:w="120" w:type="dxa"/>
              <w:right w:w="120" w:type="dxa"/>
            </w:tcMar>
          </w:tcPr>
          <w:p>
            <w:pPr>
              <w:spacing w:after="40"/>
              <w:jc w:val="center"/>
            </w:pPr>
            <w:r>
              <w:rPr>
                <w:rFonts w:ascii="Arial" w:hAnsi="Arial"/>
                <w:b/>
                <w:i w:val="0"/>
                <w:color w:val="63B3ED"/>
                <w:sz w:val="19"/>
              </w:rPr>
              <w:t>2. Staging Area (PostgreSQL)</w:t>
              <w:br/>
            </w:r>
            <w:r>
              <w:rPr>
                <w:rFonts w:ascii="Arial" w:hAnsi="Arial"/>
                <w:b w:val="0"/>
                <w:i w:val="0"/>
                <w:color w:val="E2E8F0"/>
                <w:sz w:val="17"/>
              </w:rPr>
              <w:t>Janelamento &amp; Purga.</w:t>
              <w:br/>
              <w:t>Ambiente isolado para aplicação do DDL e scripts.</w:t>
            </w:r>
          </w:p>
        </w:tc>
        <w:tc>
          <w:tcPr>
            <w:tcW w:type="dxa" w:w="3221"/>
            <w:shd w:fill="2D3748"/>
            <w:tcMar>
              <w:top w:w="120" w:type="dxa"/>
              <w:bottom w:w="120" w:type="dxa"/>
              <w:left w:w="120" w:type="dxa"/>
              <w:right w:w="120" w:type="dxa"/>
            </w:tcMar>
          </w:tcPr>
          <w:p>
            <w:pPr>
              <w:spacing w:after="40"/>
              <w:jc w:val="center"/>
            </w:pPr>
            <w:r>
              <w:rPr>
                <w:rFonts w:ascii="Arial" w:hAnsi="Arial"/>
                <w:b/>
                <w:i w:val="0"/>
                <w:color w:val="FFFFFF"/>
                <w:sz w:val="19"/>
              </w:rPr>
              <w:t>3. Camada Gold (financial)</w:t>
              <w:br/>
            </w:r>
            <w:r>
              <w:rPr>
                <w:rFonts w:ascii="Arial" w:hAnsi="Arial"/>
                <w:b w:val="0"/>
                <w:i w:val="0"/>
                <w:color w:val="E2E8F0"/>
                <w:sz w:val="17"/>
              </w:rPr>
              <w:t>Base Homologada.</w:t>
              <w:br/>
              <w:t>Repositório mestre pronto para consumo analítico e BI.</w:t>
            </w:r>
          </w:p>
        </w:tc>
      </w:tr>
    </w:tbl>
    <w:p>
      <w:pPr>
        <w:keepNext/>
        <w:spacing w:before="360" w:after="120"/>
        <w:pBdr>
          <w:bottom w:val="single" w:sz="12" w:space="4" w:color="002B49"/>
        </w:pBdr>
      </w:pPr>
      <w:r>
        <w:rPr>
          <w:rFonts w:ascii="Arial" w:hAnsi="Arial"/>
          <w:b/>
          <w:i w:val="0"/>
          <w:color w:val="002B49"/>
          <w:sz w:val="36"/>
        </w:rPr>
        <w:t>4. Dicionário de Dados e Engenharia Reversa da Base</w:t>
      </w:r>
    </w:p>
    <w:p>
      <w:pPr>
        <w:spacing w:after="200" w:line="276" w:lineRule="auto"/>
        <w:jc w:val="both"/>
      </w:pPr>
      <w:r>
        <w:rPr>
          <w:rFonts w:ascii="Arial" w:hAnsi="Arial"/>
          <w:b w:val="0"/>
          <w:i w:val="0"/>
          <w:color w:val="2D3748"/>
          <w:sz w:val="21"/>
        </w:rPr>
        <w:t>Abaixo detalha-se o mapeamento físico e as especificações de restrições de integridade que foram ausentes no sistema antigo e agora passam a blindar a tabela principal do ecossistema financial:</w:t>
      </w:r>
    </w:p>
    <w:tbl>
      <w:tblPr>
        <w:tblW w:type="auto" w:w="0"/>
        <w:jc w:val="center"/>
        <w:tblLayout w:type="fixed"/>
        <w:tblLook w:firstColumn="1" w:firstRow="1" w:lastColumn="0" w:lastRow="0" w:noHBand="0" w:noVBand="1" w:val="04A0"/>
      </w:tblPr>
      <w:tblGrid>
        <w:gridCol w:w="2016"/>
        <w:gridCol w:w="1584"/>
        <w:gridCol w:w="2016"/>
        <w:gridCol w:w="1728"/>
        <w:gridCol w:w="2304"/>
      </w:tblGrid>
      <w:tr>
        <w:tc>
          <w:tcPr>
            <w:tcW w:type="dxa" w:w="1933"/>
            <w:shd w:fill="002B49"/>
            <w:tcMar>
              <w:top w:w="140" w:type="dxa"/>
              <w:bottom w:w="140" w:type="dxa"/>
              <w:left w:w="180" w:type="dxa"/>
              <w:right w:w="180" w:type="dxa"/>
            </w:tcMar>
          </w:tcPr>
          <w:p>
            <w:pPr>
              <w:spacing w:after="0" w:before="0"/>
            </w:pPr>
            <w:r>
              <w:rPr>
                <w:rFonts w:ascii="Arial" w:hAnsi="Arial"/>
                <w:b/>
                <w:i w:val="0"/>
                <w:color w:val="FFFFFF"/>
                <w:sz w:val="19"/>
              </w:rPr>
              <w:t>Nome do Campo</w:t>
            </w:r>
          </w:p>
        </w:tc>
        <w:tc>
          <w:tcPr>
            <w:tcW w:type="dxa" w:w="1933"/>
            <w:shd w:fill="002B49"/>
            <w:tcMar>
              <w:top w:w="140" w:type="dxa"/>
              <w:bottom w:w="140" w:type="dxa"/>
              <w:left w:w="180" w:type="dxa"/>
              <w:right w:w="180" w:type="dxa"/>
            </w:tcMar>
          </w:tcPr>
          <w:p>
            <w:pPr>
              <w:spacing w:after="0" w:before="0"/>
            </w:pPr>
            <w:r>
              <w:rPr>
                <w:rFonts w:ascii="Arial" w:hAnsi="Arial"/>
                <w:b/>
                <w:i w:val="0"/>
                <w:color w:val="FFFFFF"/>
                <w:sz w:val="19"/>
              </w:rPr>
              <w:t>Tipo Legado</w:t>
            </w:r>
          </w:p>
        </w:tc>
        <w:tc>
          <w:tcPr>
            <w:tcW w:type="dxa" w:w="1933"/>
            <w:shd w:fill="002B49"/>
            <w:tcMar>
              <w:top w:w="140" w:type="dxa"/>
              <w:bottom w:w="140" w:type="dxa"/>
              <w:left w:w="180" w:type="dxa"/>
              <w:right w:w="180" w:type="dxa"/>
            </w:tcMar>
          </w:tcPr>
          <w:p>
            <w:pPr>
              <w:spacing w:after="0" w:before="0"/>
            </w:pPr>
            <w:r>
              <w:rPr>
                <w:rFonts w:ascii="Arial" w:hAnsi="Arial"/>
                <w:b/>
                <w:i w:val="0"/>
                <w:color w:val="FFFFFF"/>
                <w:sz w:val="19"/>
              </w:rPr>
              <w:t>Tipo PG Target</w:t>
            </w:r>
          </w:p>
        </w:tc>
        <w:tc>
          <w:tcPr>
            <w:tcW w:type="dxa" w:w="1933"/>
            <w:shd w:fill="002B49"/>
            <w:tcMar>
              <w:top w:w="140" w:type="dxa"/>
              <w:bottom w:w="140" w:type="dxa"/>
              <w:left w:w="180" w:type="dxa"/>
              <w:right w:w="180" w:type="dxa"/>
            </w:tcMar>
          </w:tcPr>
          <w:p>
            <w:pPr>
              <w:spacing w:after="0" w:before="0"/>
            </w:pPr>
            <w:r>
              <w:rPr>
                <w:rFonts w:ascii="Arial" w:hAnsi="Arial"/>
                <w:b/>
                <w:i w:val="0"/>
                <w:color w:val="FFFFFF"/>
                <w:sz w:val="19"/>
              </w:rPr>
              <w:t>Restrições</w:t>
            </w:r>
          </w:p>
        </w:tc>
        <w:tc>
          <w:tcPr>
            <w:tcW w:type="dxa" w:w="1933"/>
            <w:shd w:fill="002B49"/>
            <w:tcMar>
              <w:top w:w="140" w:type="dxa"/>
              <w:bottom w:w="140" w:type="dxa"/>
              <w:left w:w="180" w:type="dxa"/>
              <w:right w:w="180" w:type="dxa"/>
            </w:tcMar>
          </w:tcPr>
          <w:p>
            <w:pPr>
              <w:spacing w:after="0" w:before="0"/>
            </w:pPr>
            <w:r>
              <w:rPr>
                <w:rFonts w:ascii="Arial" w:hAnsi="Arial"/>
                <w:b/>
                <w:i w:val="0"/>
                <w:color w:val="FFFFFF"/>
                <w:sz w:val="19"/>
              </w:rPr>
              <w:t>Regra de Negócio</w:t>
            </w:r>
          </w:p>
        </w:tc>
      </w:tr>
      <w:tr>
        <w:tc>
          <w:tcPr>
            <w:tcW w:type="dxa" w:w="1933"/>
            <w:shd w:fill="FFFFFF"/>
            <w:tcMar>
              <w:top w:w="120" w:type="dxa"/>
              <w:bottom w:w="120" w:type="dxa"/>
              <w:left w:w="180" w:type="dxa"/>
              <w:right w:w="180" w:type="dxa"/>
            </w:tcMar>
          </w:tcPr>
          <w:p>
            <w:pPr>
              <w:spacing w:after="0" w:before="0"/>
            </w:pPr>
            <w:r>
              <w:rPr>
                <w:rFonts w:ascii="Arial" w:hAnsi="Arial"/>
                <w:b/>
                <w:i w:val="0"/>
                <w:color w:val="2D3748"/>
                <w:sz w:val="19"/>
              </w:rPr>
              <w:t>transaction_id</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VARCHAR (Sem Trava)</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BIGINT</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PRIMARY KEY</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Chave exclusiva de identificação transacional. Impedir duplicidades físicas.</w:t>
            </w:r>
          </w:p>
        </w:tc>
      </w:tr>
      <w:tr>
        <w:tc>
          <w:tcPr>
            <w:tcW w:type="dxa" w:w="1933"/>
            <w:shd w:fill="F7FAFC"/>
            <w:tcMar>
              <w:top w:w="120" w:type="dxa"/>
              <w:bottom w:w="120" w:type="dxa"/>
              <w:left w:w="180" w:type="dxa"/>
              <w:right w:w="180" w:type="dxa"/>
            </w:tcMar>
          </w:tcPr>
          <w:p>
            <w:pPr>
              <w:spacing w:after="0" w:before="0"/>
            </w:pPr>
            <w:r>
              <w:rPr>
                <w:rFonts w:ascii="Arial" w:hAnsi="Arial"/>
                <w:b/>
                <w:i w:val="0"/>
                <w:color w:val="2D3748"/>
                <w:sz w:val="19"/>
              </w:rPr>
              <w:t>client_id</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VARCHAR</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BIGINT</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FOREIGN KEY</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Vínculo com a tabela de clientes. Bloqueia a inserção de transações órfãs.</w:t>
            </w:r>
          </w:p>
        </w:tc>
      </w:tr>
      <w:tr>
        <w:tc>
          <w:tcPr>
            <w:tcW w:type="dxa" w:w="1933"/>
            <w:shd w:fill="FFFFFF"/>
            <w:tcMar>
              <w:top w:w="120" w:type="dxa"/>
              <w:bottom w:w="120" w:type="dxa"/>
              <w:left w:w="180" w:type="dxa"/>
              <w:right w:w="180" w:type="dxa"/>
            </w:tcMar>
          </w:tcPr>
          <w:p>
            <w:pPr>
              <w:spacing w:after="0" w:before="0"/>
            </w:pPr>
            <w:r>
              <w:rPr>
                <w:rFonts w:ascii="Arial" w:hAnsi="Arial"/>
                <w:b/>
                <w:i w:val="0"/>
                <w:color w:val="2D3748"/>
                <w:sz w:val="19"/>
              </w:rPr>
              <w:t>transaction_amount</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FLOAT / DOUBLE</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NUMERIC (15,2)</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NOT NULL</w:t>
            </w:r>
          </w:p>
        </w:tc>
        <w:tc>
          <w:tcPr>
            <w:tcW w:type="dxa" w:w="1933"/>
            <w:shd w:fill="FFFFFF"/>
            <w:tcMar>
              <w:top w:w="120" w:type="dxa"/>
              <w:bottom w:w="120" w:type="dxa"/>
              <w:left w:w="180" w:type="dxa"/>
              <w:right w:w="180" w:type="dxa"/>
            </w:tcMar>
          </w:tcPr>
          <w:p>
            <w:pPr>
              <w:spacing w:after="0" w:before="0"/>
            </w:pPr>
            <w:r>
              <w:rPr>
                <w:rFonts w:ascii="Arial" w:hAnsi="Arial"/>
                <w:b w:val="0"/>
                <w:i w:val="0"/>
                <w:color w:val="2D3748"/>
                <w:sz w:val="19"/>
              </w:rPr>
              <w:t>Garantia de exatidão matemática centesimal anti-desvio de ponto flutuante.</w:t>
            </w:r>
          </w:p>
        </w:tc>
      </w:tr>
      <w:tr>
        <w:tc>
          <w:tcPr>
            <w:tcW w:type="dxa" w:w="1933"/>
            <w:shd w:fill="F7FAFC"/>
            <w:tcMar>
              <w:top w:w="120" w:type="dxa"/>
              <w:bottom w:w="120" w:type="dxa"/>
              <w:left w:w="180" w:type="dxa"/>
              <w:right w:w="180" w:type="dxa"/>
            </w:tcMar>
          </w:tcPr>
          <w:p>
            <w:pPr>
              <w:spacing w:after="0" w:before="0"/>
            </w:pPr>
            <w:r>
              <w:rPr>
                <w:rFonts w:ascii="Arial" w:hAnsi="Arial"/>
                <w:b/>
                <w:i w:val="0"/>
                <w:color w:val="2D3748"/>
                <w:sz w:val="19"/>
              </w:rPr>
              <w:t>created_at</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VARCHAR</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TIMESTAMP</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DEFAULT CURRENT_TIMESTAMP</w:t>
            </w:r>
          </w:p>
        </w:tc>
        <w:tc>
          <w:tcPr>
            <w:tcW w:type="dxa" w:w="1933"/>
            <w:shd w:fill="F7FAFC"/>
            <w:tcMar>
              <w:top w:w="120" w:type="dxa"/>
              <w:bottom w:w="120" w:type="dxa"/>
              <w:left w:w="180" w:type="dxa"/>
              <w:right w:w="180" w:type="dxa"/>
            </w:tcMar>
          </w:tcPr>
          <w:p>
            <w:pPr>
              <w:spacing w:after="0" w:before="0"/>
            </w:pPr>
            <w:r>
              <w:rPr>
                <w:rFonts w:ascii="Arial" w:hAnsi="Arial"/>
                <w:b w:val="0"/>
                <w:i w:val="0"/>
                <w:color w:val="2D3748"/>
                <w:sz w:val="19"/>
              </w:rPr>
              <w:t>Normalização de fuso horário e auditoria cronológica das operações.</w:t>
            </w:r>
          </w:p>
        </w:tc>
      </w:tr>
    </w:tbl>
    <w:p>
      <w:pPr>
        <w:keepNext/>
        <w:spacing w:before="360" w:after="120"/>
        <w:pBdr>
          <w:bottom w:val="single" w:sz="12" w:space="4" w:color="002B49"/>
        </w:pBdr>
      </w:pPr>
      <w:r>
        <w:rPr>
          <w:rFonts w:ascii="Arial" w:hAnsi="Arial"/>
          <w:b/>
          <w:i w:val="0"/>
          <w:color w:val="002B49"/>
          <w:sz w:val="36"/>
        </w:rPr>
        <w:t>5. Implementação Física do Esquema Relacional (DDL)</w:t>
      </w:r>
    </w:p>
    <w:p>
      <w:pPr>
        <w:spacing w:after="200" w:line="276" w:lineRule="auto"/>
        <w:jc w:val="both"/>
      </w:pPr>
      <w:r>
        <w:rPr>
          <w:rFonts w:ascii="Arial" w:hAnsi="Arial"/>
          <w:b w:val="0"/>
          <w:i w:val="0"/>
          <w:color w:val="2D3748"/>
          <w:sz w:val="21"/>
        </w:rPr>
        <w:t>O trecho do script de engenharia estrutural abaixo demonstra a aplicação prática das regras especificadas no dicionário de dados, alterando os tipos primitivos e cravando as travas físicas nativas na base de dados do ecossistema:</w:t>
      </w:r>
    </w:p>
    <w:tbl>
      <w:tblPr>
        <w:tblW w:type="auto" w:w="0"/>
        <w:jc w:val="center"/>
        <w:tblLook w:firstColumn="1" w:firstRow="1" w:lastColumn="0" w:lastRow="0" w:noHBand="0" w:noVBand="1" w:val="04A0"/>
      </w:tblPr>
      <w:tblGrid>
        <w:gridCol w:w="9648"/>
      </w:tblGrid>
      <w:tr>
        <w:tc>
          <w:tcPr>
            <w:tcW w:type="dxa" w:w="9663"/>
            <w:shd w:fill="1A202C"/>
            <w:tcMar>
              <w:top w:w="160" w:type="dxa"/>
              <w:bottom w:w="160" w:type="dxa"/>
              <w:left w:w="200" w:type="dxa"/>
              <w:right w:w="200" w:type="dxa"/>
            </w:tcMar>
          </w:tcPr>
          <w:p>
            <w:pPr>
              <w:spacing w:after="0"/>
            </w:pPr>
            <w:r>
              <w:rPr>
                <w:rFonts w:ascii="Consolas" w:hAnsi="Consolas"/>
                <w:b w:val="0"/>
                <w:i w:val="0"/>
                <w:color w:val="F7FAFC"/>
                <w:sz w:val="18"/>
              </w:rPr>
              <w:t>-- Reestruturação da Tabela Principal do Ecossistema Financial</w:t>
              <w:br/>
              <w:t xml:space="preserve">ALTER TABLE financial_ledger </w:t>
              <w:br/>
              <w:t xml:space="preserve">    ADD CONSTRAINT pk_financial_transaction_id PRIMARY KEY (transaction_id),</w:t>
              <w:br/>
              <w:t xml:space="preserve">    ALTER COLUMN transaction_amount TYPE NUMERIC(15,2),</w:t>
              <w:br/>
              <w:t xml:space="preserve">    ADD CONSTRAINT fk_financial_client_registry FOREIGN KEY (client_id) </w:t>
              <w:br/>
              <w:t xml:space="preserve">    REFERENCES financial_clients(id) ON DELETE RESTRICT;</w:t>
            </w:r>
          </w:p>
        </w:tc>
      </w:tr>
    </w:tbl>
    <w:p>
      <w:pPr>
        <w:keepNext/>
        <w:spacing w:before="360" w:after="120"/>
        <w:pBdr>
          <w:bottom w:val="single" w:sz="12" w:space="4" w:color="002B49"/>
        </w:pBdr>
      </w:pPr>
      <w:r>
        <w:rPr>
          <w:rFonts w:ascii="Arial" w:hAnsi="Arial"/>
          <w:b/>
          <w:i w:val="0"/>
          <w:color w:val="002B49"/>
          <w:sz w:val="36"/>
        </w:rPr>
        <w:t>6. Homologação, Validação e Auditoria de Saldos</w:t>
      </w:r>
    </w:p>
    <w:p>
      <w:pPr>
        <w:spacing w:after="200" w:line="276" w:lineRule="auto"/>
        <w:jc w:val="both"/>
      </w:pPr>
      <w:r>
        <w:rPr>
          <w:rFonts w:ascii="Arial" w:hAnsi="Arial"/>
          <w:b w:val="0"/>
          <w:i w:val="0"/>
          <w:color w:val="2D3748"/>
          <w:sz w:val="21"/>
        </w:rPr>
        <w:t>A prova real e homologação de consistência sistêmica do projeto foi executada por meio de queries de agregação matemática cruzando as tabelas normalizadas. As visões de conciliação confirmaram que as distorções centesimais do legado foram totalmente mitigadas, alcançando convergência matemática absoluta:</w:t>
      </w:r>
    </w:p>
    <w:tbl>
      <w:tblPr>
        <w:tblW w:type="auto" w:w="0"/>
        <w:jc w:val="center"/>
        <w:tblLook w:firstColumn="1" w:firstRow="1" w:lastColumn="0" w:lastRow="0" w:noHBand="0" w:noVBand="1" w:val="04A0"/>
      </w:tblPr>
      <w:tblGrid>
        <w:gridCol w:w="9648"/>
      </w:tblGrid>
      <w:tr>
        <w:tc>
          <w:tcPr>
            <w:tcW w:type="dxa" w:w="9663"/>
            <w:shd w:fill="002B49"/>
            <w:tcMar>
              <w:top w:w="240" w:type="dxa"/>
              <w:bottom w:w="240" w:type="dxa"/>
              <w:left w:w="240" w:type="dxa"/>
              <w:right w:w="240" w:type="dxa"/>
            </w:tcMar>
          </w:tcPr>
          <w:p>
            <w:pPr>
              <w:spacing w:after="120"/>
              <w:jc w:val="center"/>
            </w:pPr>
            <w:r>
              <w:rPr>
                <w:rFonts w:ascii="Arial" w:hAnsi="Arial"/>
                <w:b/>
                <w:i w:val="0"/>
                <w:color w:val="63B3ED"/>
                <w:sz w:val="22"/>
              </w:rPr>
              <w:t>Resultado Final do Batimento de Saldos Contábeis</w:t>
            </w:r>
          </w:p>
          <w:p>
            <w:pPr>
              <w:spacing w:after="120"/>
              <w:jc w:val="center"/>
            </w:pPr>
            <w:r>
              <w:rPr>
                <w:rFonts w:ascii="Arial" w:hAnsi="Arial"/>
                <w:b/>
                <w:i w:val="0"/>
                <w:color w:val="68D391"/>
                <w:sz w:val="56"/>
              </w:rPr>
              <w:t>R$ 1.573,40</w:t>
            </w:r>
          </w:p>
          <w:p>
            <w:pPr>
              <w:spacing w:after="0"/>
              <w:jc w:val="center"/>
            </w:pPr>
            <w:r>
              <w:rPr>
                <w:rFonts w:ascii="Arial" w:hAnsi="Arial"/>
                <w:b/>
                <w:i w:val="0"/>
                <w:color w:val="FFFFFF"/>
                <w:sz w:val="20"/>
              </w:rPr>
              <w:t>Métrica de Conformidade: 100% CONVERGENTE (SISTEMA HOMOLOGADO)</w:t>
            </w:r>
          </w:p>
        </w:tc>
      </w:tr>
    </w:tbl>
    <w:p>
      <w:pPr>
        <w:spacing w:before="800" w:line="312" w:lineRule="auto"/>
        <w:jc w:val="center"/>
      </w:pPr>
      <w:r>
        <w:rPr>
          <w:rFonts w:ascii="Arial" w:hAnsi="Arial"/>
          <w:b w:val="0"/>
          <w:i/>
          <w:color w:val="718096"/>
          <w:sz w:val="19"/>
        </w:rPr>
        <w:t>Sandro Lopes</w:t>
        <w:br/>
        <w:t>Analista de Sistemas &amp; Engenheiro de Software Sênior</w:t>
        <w:br/>
        <w:t>Especialização Pós-Graduada em Engenharia de Software e Infraestrutura de TI</w:t>
        <w:br/>
        <w:t>Documento Técnico de Conclusão de Projeto — Emitido e Registrado em Maio de 2026</w:t>
      </w:r>
    </w:p>
    <w:sectPr w:rsidR="00FC693F" w:rsidRPr="0006063C" w:rsidSect="00034616">
      <w:pgSz w:w="11909" w:h="16834"/>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