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fill="auto"/>
        <w:spacing w:before="240" w:after="240"/>
        <w:jc w:val="both"/>
        <w:rPr/>
      </w:pPr>
      <w:r>
        <w:rPr/>
        <w:t>Projeto Systock</w:t>
      </w:r>
    </w:p>
    <w:p>
      <w:pPr>
        <w:pStyle w:val="normal1"/>
        <w:shd w:val="clear" w:fill="auto"/>
        <w:jc w:val="both"/>
        <w:rPr/>
      </w:pPr>
      <w:r>
        <w:rPr>
          <w:b/>
          <w:bCs/>
        </w:rPr>
        <w:t>Candidato:</w:t>
      </w:r>
      <w:r>
        <w:rPr/>
        <w:t xml:space="preserve"> Sandro Lopes</w:t>
      </w:r>
    </w:p>
    <w:p>
      <w:pPr>
        <w:pStyle w:val="normal1"/>
        <w:shd w:val="clear" w:fill="auto"/>
        <w:jc w:val="both"/>
        <w:rPr/>
      </w:pPr>
      <w:r>
        <w:rPr>
          <w:b/>
          <w:bCs/>
        </w:rPr>
        <w:t>Responsável Técnico:</w:t>
      </w:r>
      <w:r>
        <w:rPr/>
        <w:t xml:space="preserve"> Coodenador de Integração de Dados</w:t>
      </w:r>
    </w:p>
    <w:p>
      <w:pPr>
        <w:pStyle w:val="normal1"/>
        <w:shd w:val="clear" w:fill="auto"/>
        <w:jc w:val="both"/>
        <w:rPr/>
      </w:pPr>
      <w:r>
        <w:rPr>
          <w:b/>
          <w:bCs/>
        </w:rPr>
        <w:t>Data:</w:t>
      </w:r>
      <w:r>
        <w:rPr/>
        <w:t xml:space="preserve"> Maio de 2026</w:t>
      </w:r>
    </w:p>
    <w:p>
      <w:pPr>
        <w:pStyle w:val="Heading1"/>
        <w:shd w:val="clear" w:fill="auto"/>
        <w:jc w:val="both"/>
        <w:rPr>
          <w:sz w:val="36"/>
          <w:szCs w:val="36"/>
        </w:rPr>
      </w:pPr>
      <w:r>
        <w:rPr>
          <w:sz w:val="36"/>
          <w:szCs w:val="36"/>
        </w:rPr>
        <w:t>1. Implantação e Integração de Dados</w:t>
      </w:r>
    </w:p>
    <w:p>
      <w:pPr>
        <w:pStyle w:val="Heading2"/>
        <w:shd w:val="clear" w:fill="auto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widowControl w:val="false"/>
        <w:bidi w:val="0"/>
        <w:jc w:val="both"/>
        <w:rPr>
          <w:sz w:val="36"/>
          <w:szCs w:val="36"/>
        </w:rPr>
      </w:pPr>
      <w:r>
        <w:rPr>
          <w:sz w:val="30"/>
          <w:szCs w:val="30"/>
        </w:rPr>
        <w:tab/>
        <w:t>Resumo Executivo</w:t>
      </w:r>
    </w:p>
    <w:p>
      <w:pPr>
        <w:pStyle w:val="normal1"/>
        <w:shd w:val="clear" w:fill="auto"/>
        <w:spacing w:lineRule="auto" w:line="240" w:before="0" w:after="225"/>
        <w:jc w:val="both"/>
        <w:rPr/>
      </w:pPr>
      <w:r>
        <w:rPr/>
        <w:tab/>
        <w:t xml:space="preserve">Este relatório detalha a implantação do banco de dados </w:t>
      </w:r>
      <w:r>
        <w:rPr>
          <w:b/>
          <w:bCs/>
        </w:rPr>
        <w:t>Systock</w:t>
      </w:r>
      <w:r>
        <w:rPr/>
        <w:t>, cobrindo desde a recepção dos arquivos brutos até a consolidação de um ambiente relacional íntegro e pronto para análise de BI. O foco principal foi a superação de inconsistências de origem e a garantia da integridade referencial.</w:t>
      </w:r>
    </w:p>
    <w:p>
      <w:pPr>
        <w:pStyle w:val="Heading1"/>
        <w:widowControl w:val="false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1.1 Estágio I: Preparação da Infraestrutura e DDL</w:t>
      </w:r>
    </w:p>
    <w:p>
      <w:pPr>
        <w:pStyle w:val="normal1"/>
        <w:shd w:val="clear" w:fill="auto"/>
        <w:jc w:val="both"/>
        <w:rPr/>
      </w:pPr>
      <w:r>
        <w:rPr/>
        <w:tab/>
        <w:t xml:space="preserve">A fase inicial consistiu na criação do </w:t>
      </w:r>
      <w:r>
        <w:rPr>
          <w:i/>
          <w:iCs/>
        </w:rPr>
        <w:t>Schema</w:t>
      </w:r>
      <w:r>
        <w:rPr/>
        <w:t xml:space="preserve"> no PostgreSQL. Foram executados scripts de DDL (Data Definition Language) para estabelecer a estrutura mestre.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jc w:val="both"/>
        <w:rPr/>
      </w:pPr>
      <w:r>
        <w:rPr>
          <w:b/>
          <w:bCs/>
        </w:rPr>
        <w:t>Identificação de Erros de Modelagem:</w:t>
      </w:r>
      <w:r>
        <w:rPr/>
        <w:t xml:space="preserve"> Ajustamos os scripts originais que apresentavam falhas na declaração de Chaves Primárias (PK) e nomes de colunas inconsistentes (ex: idforncedor vs idfornecedor).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jc w:val="both"/>
        <w:rPr/>
      </w:pPr>
      <w:r>
        <w:rPr>
          <w:b/>
          <w:bCs/>
        </w:rPr>
        <w:t>Definição de Tipagem:</w:t>
      </w:r>
      <w:r>
        <w:rPr/>
        <w:t xml:space="preserve"> Adotamos numeric(12,4) para precisão financeira e varchar(25) para IDs, evitando erros de truncamento observados em tentativas iniciais.</w:t>
      </w:r>
    </w:p>
    <w:p>
      <w:pPr>
        <w:pStyle w:val="Heading1"/>
        <w:widowControl w:val="false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1.2 Estágio II: Processo de ETL e Saneamento</w:t>
      </w:r>
    </w:p>
    <w:p>
      <w:pPr>
        <w:pStyle w:val="normal1"/>
        <w:shd w:val="clear" w:fill="auto"/>
        <w:jc w:val="both"/>
        <w:rPr/>
      </w:pPr>
      <w:r>
        <w:rPr/>
        <w:tab/>
        <w:t>Utilizando o DBeaver, realizamos a importação da planilha base_teste_systock.xlsx. Esta fase exigiu intervenções técnicas críticas: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jc w:val="both"/>
        <w:rPr/>
      </w:pPr>
      <w:r>
        <w:rPr>
          <w:b/>
          <w:bCs/>
        </w:rPr>
        <w:t>Tratamento de Colunas Excedentes:</w:t>
      </w:r>
      <w:r>
        <w:rPr/>
        <w:t xml:space="preserve"> Durante o mapeamento das tabelas pedido_compra e venda, foram detectadas "colunas fantasmas" (Column 13, 14 e 15 ...). Estas foram devidamente marcadas como </w:t>
      </w:r>
      <w:r>
        <w:rPr>
          <w:i/>
          <w:iCs/>
        </w:rPr>
        <w:t>"Skip"</w:t>
      </w:r>
      <w:r>
        <w:rPr/>
        <w:t xml:space="preserve"> para não corromper a estrutura física.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jc w:val="both"/>
        <w:rPr/>
      </w:pPr>
      <w:r>
        <w:rPr>
          <w:b/>
          <w:bCs/>
        </w:rPr>
        <w:t>Gestão de Produtos Órfãos:</w:t>
      </w:r>
      <w:r>
        <w:rPr/>
        <w:t xml:space="preserve"> Identificamos que as vendas continham os produtos </w:t>
      </w:r>
      <w:r>
        <w:rPr>
          <w:b/>
          <w:bCs/>
        </w:rPr>
        <w:t>P21 e P22</w:t>
      </w:r>
      <w:r>
        <w:rPr/>
        <w:t>, inexistentes na tabela produtos_filial.</w:t>
      </w:r>
    </w:p>
    <w:p>
      <w:pPr>
        <w:pStyle w:val="normal1"/>
        <w:numPr>
          <w:ilvl w:val="1"/>
          <w:numId w:val="3"/>
        </w:numPr>
        <w:shd w:val="clear" w:fill="auto"/>
        <w:ind w:hanging="360" w:left="1200"/>
        <w:jc w:val="both"/>
        <w:rPr/>
      </w:pPr>
      <w:r>
        <w:rPr>
          <w:b/>
          <w:bCs/>
        </w:rPr>
        <w:t>Ação:</w:t>
      </w:r>
      <w:r>
        <w:rPr/>
        <w:t xml:space="preserve"> Ativamos o </w:t>
      </w:r>
      <w:r>
        <w:rPr>
          <w:i/>
          <w:iCs/>
        </w:rPr>
        <w:t>"Disable batches"</w:t>
      </w:r>
      <w:r>
        <w:rPr/>
        <w:t xml:space="preserve"> e utilizamos o </w:t>
      </w:r>
      <w:r>
        <w:rPr>
          <w:i/>
          <w:iCs/>
        </w:rPr>
        <w:t>"Skip All"</w:t>
      </w:r>
      <w:r>
        <w:rPr/>
        <w:t>. Esta decisão técnica permitiu a continuidade da carga de 100% dos dados válidos sem interrupções manuais.</w:t>
      </w:r>
    </w:p>
    <w:p>
      <w:pPr>
        <w:pStyle w:val="Heading1"/>
        <w:widowControl w:val="false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1.3 Estágio III: Integração e Integridade Referencial</w:t>
      </w:r>
    </w:p>
    <w:p>
      <w:pPr>
        <w:pStyle w:val="normal1"/>
        <w:shd w:val="clear" w:fill="auto"/>
        <w:jc w:val="both"/>
        <w:rPr/>
      </w:pPr>
      <w:r>
        <w:rPr/>
        <w:tab/>
        <w:t>Após a carga, focamos na interconexão das tabelas através de Chaves Estrangeiras (FK). Esta é a "cola" que permite ao sistema Systock funcionar como um ERP integrado.</w:t>
      </w:r>
    </w:p>
    <w:p>
      <w:pPr>
        <w:pStyle w:val="normal1"/>
        <w:numPr>
          <w:ilvl w:val="0"/>
          <w:numId w:val="4"/>
        </w:numPr>
        <w:shd w:val="clear" w:fill="auto"/>
        <w:ind w:hanging="360" w:left="600"/>
        <w:jc w:val="both"/>
        <w:rPr/>
      </w:pPr>
      <w:r>
        <w:rPr>
          <w:b/>
          <w:bCs/>
        </w:rPr>
        <w:t>Vínculo Pedido vs. Entrada:</w:t>
      </w:r>
      <w:r>
        <w:rPr/>
        <w:t xml:space="preserve"> Estabelecemos a relação via ORDEM_COMPRA e PRODUTO_ID. Este vínculo foi testado para garantir que nenhuma entrada de nota fiscal ocorresse sem um pedido prévio.</w:t>
      </w:r>
    </w:p>
    <w:p>
      <w:pPr>
        <w:pStyle w:val="normal1"/>
        <w:numPr>
          <w:ilvl w:val="0"/>
          <w:numId w:val="4"/>
        </w:numPr>
        <w:shd w:val="clear" w:fill="auto"/>
        <w:ind w:hanging="360" w:left="600"/>
        <w:jc w:val="both"/>
        <w:rPr/>
      </w:pPr>
      <w:r>
        <w:rPr>
          <w:b/>
          <w:bCs/>
        </w:rPr>
        <w:t>Vínculo Venda vs. Produto:</w:t>
      </w:r>
      <w:r>
        <w:rPr/>
        <w:t xml:space="preserve"> Garantimos que cada venda desse baixa no estoque correto, validando a integridade entre o produto_id da movimentação e o cadastro mestre.</w:t>
      </w:r>
    </w:p>
    <w:p>
      <w:pPr>
        <w:pStyle w:val="normal1"/>
        <w:numPr>
          <w:ilvl w:val="0"/>
          <w:numId w:val="4"/>
        </w:numPr>
        <w:shd w:val="clear" w:fill="auto"/>
        <w:ind w:hanging="360" w:left="600"/>
        <w:jc w:val="both"/>
        <w:rPr/>
      </w:pPr>
      <w:r>
        <w:rPr>
          <w:b/>
          <w:bCs/>
        </w:rPr>
        <w:t>Vínculo Produto vs. Fornecedor:</w:t>
      </w:r>
      <w:r>
        <w:rPr/>
        <w:t xml:space="preserve"> Implementamos a amarração necessária para rastrear a origem de cada SKU no estoque.</w:t>
      </w:r>
    </w:p>
    <w:p>
      <w:pPr>
        <w:pStyle w:val="Heading1"/>
        <w:widowControl w:val="false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1.4 Estágio IV: Validação de Resultados (Business Intelligence)</w:t>
      </w:r>
    </w:p>
    <w:p>
      <w:pPr>
        <w:pStyle w:val="normal1"/>
        <w:shd w:val="clear" w:fill="auto"/>
        <w:jc w:val="both"/>
        <w:rPr/>
      </w:pPr>
      <w:r>
        <w:rPr/>
        <w:tab/>
        <w:t>Com as tabelas integradas, geramos relatórios de auditoria que confirmaram a saúde dos dados:</w:t>
      </w:r>
    </w:p>
    <w:p>
      <w:pPr>
        <w:pStyle w:val="normal1"/>
        <w:numPr>
          <w:ilvl w:val="0"/>
          <w:numId w:val="5"/>
        </w:numPr>
        <w:shd w:val="clear" w:fill="auto"/>
        <w:ind w:hanging="360" w:left="600"/>
        <w:jc w:val="both"/>
        <w:rPr/>
      </w:pPr>
      <w:r>
        <w:rPr>
          <w:b/>
          <w:bCs/>
        </w:rPr>
        <w:t>Auditoria de Recebimento:</w:t>
      </w:r>
      <w:r>
        <w:rPr/>
        <w:t xml:space="preserve"> Validamos que não houve divergência quantitativa entre o pedido e a entrada (Divergência = 0).</w:t>
      </w:r>
    </w:p>
    <w:p>
      <w:pPr>
        <w:pStyle w:val="normal1"/>
        <w:numPr>
          <w:ilvl w:val="0"/>
          <w:numId w:val="5"/>
        </w:numPr>
        <w:shd w:val="clear" w:fill="auto"/>
        <w:ind w:hanging="360" w:left="600"/>
        <w:jc w:val="both"/>
        <w:rPr/>
      </w:pPr>
      <w:r>
        <w:rPr>
          <w:b/>
          <w:bCs/>
        </w:rPr>
        <w:t>Análise de Performance Financeira:</w:t>
      </w:r>
      <w:r>
        <w:rPr/>
        <w:t xml:space="preserve"> O relatório consolidado revelou que o </w:t>
      </w:r>
      <w:r>
        <w:rPr>
          <w:b/>
          <w:bCs/>
        </w:rPr>
        <w:t>Produto 8</w:t>
      </w:r>
      <w:r>
        <w:rPr/>
        <w:t xml:space="preserve"> detém o maior faturamento (&gt;$10M), enquanto o </w:t>
      </w:r>
      <w:r>
        <w:rPr>
          <w:b/>
          <w:bCs/>
        </w:rPr>
        <w:t>Produto 16</w:t>
      </w:r>
      <w:r>
        <w:rPr/>
        <w:t xml:space="preserve"> lidera em volume físico, permitindo uma análise de Curva ABC precisa.</w:t>
      </w:r>
    </w:p>
    <w:p>
      <w:pPr>
        <w:pStyle w:val="Heading1"/>
        <w:widowControl w:val="false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1.5 Conclusão da Importação</w:t>
      </w:r>
    </w:p>
    <w:p>
      <w:pPr>
        <w:pStyle w:val="normal1"/>
        <w:shd w:val="clear" w:fill="auto"/>
        <w:jc w:val="both"/>
        <w:rPr/>
      </w:pPr>
      <w:r>
        <w:rPr/>
        <w:tab/>
        <w:t>O ambiente foi entregue sanitizado, com a exclusão de tabelas temporárias (base_teste_systock) e otimização de índices. O sistema está homologado para operações de alta complexidade.</w:t>
      </w:r>
    </w:p>
    <w:p>
      <w:pPr>
        <w:pStyle w:val="normal1"/>
        <w:shd w:val="clear" w:fill="auto"/>
        <w:jc w:val="both"/>
        <w:rPr>
          <w:i/>
          <w:iCs/>
        </w:rPr>
      </w:pPr>
      <w:r>
        <w:rPr>
          <w:i/>
          <w:iCs/>
        </w:rPr>
      </w:r>
    </w:p>
    <w:p>
      <w:pPr>
        <w:pStyle w:val="normal1"/>
        <w:shd w:val="clear" w:fill="auto"/>
        <w:jc w:val="both"/>
        <w:rPr>
          <w:i/>
          <w:iCs/>
        </w:rPr>
      </w:pPr>
      <w:r>
        <w:rPr>
          <w:i/>
          <w:iCs/>
        </w:rPr>
      </w:r>
    </w:p>
    <w:p>
      <w:pPr>
        <w:pStyle w:val="Heading2"/>
        <w:shd w:val="clear" w:fill="auto"/>
        <w:spacing w:lineRule="auto" w:line="240" w:before="0" w:after="225"/>
        <w:jc w:val="both"/>
        <w:rPr/>
      </w:pPr>
      <w:r>
        <w:rPr/>
        <w:t>Parte 2 – Consultas SQL Básicas e Auditoria de Dados</w:t>
      </w:r>
    </w:p>
    <w:p>
      <w:pPr>
        <w:pStyle w:val="normal11"/>
        <w:shd w:val="clear" w:fill="auto"/>
        <w:spacing w:lineRule="auto" w:line="240" w:before="0" w:after="240"/>
        <w:jc w:val="both"/>
        <w:rPr/>
      </w:pPr>
      <w:r>
        <w:rPr>
          <w:sz w:val="20"/>
          <w:szCs w:val="20"/>
        </w:rPr>
        <w:tab/>
        <w:t>Nesta etapa, o foco foi a extração de indicadores operacionais e financeiros. O processo exigiu uma auditoria técnica detalhada nos metadados do banco de dados para garantir que os nomes lógicos das consultas correspondessem à estrutura física das tabelas e colunas, superando inconsistências identificadas durante o desenvolvimento.</w:t>
      </w:r>
    </w:p>
    <w:p>
      <w:pPr>
        <w:pStyle w:val="Heading3"/>
        <w:widowControl w:val="false"/>
        <w:bidi w:val="0"/>
        <w:spacing w:before="0" w:after="240"/>
        <w:jc w:val="both"/>
        <w:rPr>
          <w:sz w:val="30"/>
          <w:szCs w:val="30"/>
        </w:rPr>
      </w:pPr>
      <w:r>
        <w:rPr>
          <w:sz w:val="30"/>
          <w:szCs w:val="30"/>
        </w:rPr>
        <w:t>2.1. Consumo por Produto e Mês (Fevereiro/2025)</w:t>
      </w:r>
    </w:p>
    <w:p>
      <w:pPr>
        <w:pStyle w:val="normal11"/>
        <w:shd w:val="clear" w:fill="auto"/>
        <w:jc w:val="both"/>
        <w:rPr/>
      </w:pPr>
      <w:r>
        <w:rPr/>
        <w:tab/>
        <w:t>A consulta abaixo foi estruturada para consolidar o faturamento real, aplicando uma lógica de normalização (</w:t>
      </w:r>
      <w:r>
        <w:rPr>
          <w:i/>
          <w:iCs/>
        </w:rPr>
        <w:t>scale correction</w:t>
      </w:r>
      <w:r>
        <w:rPr/>
        <w:t xml:space="preserve">) para tratar quantidades que apresentavam distorções decimais na base original. </w:t>
      </w:r>
    </w:p>
    <w:tbl>
      <w:tblPr>
        <w:tblW w:w="10980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80"/>
      </w:tblGrid>
      <w:tr>
        <w:trPr/>
        <w:tc>
          <w:tcPr>
            <w:tcW w:w="10980" w:type="dxa"/>
            <w:tcBorders/>
          </w:tcPr>
          <w:p>
            <w:pPr>
              <w:pStyle w:val="normal11"/>
              <w:shd w:val="clear" w:fill="auto"/>
              <w:jc w:val="both"/>
              <w:rPr/>
            </w:pPr>
            <w:r>
              <w:rPr/>
              <w:t>O campo cronológico foi validado como data_emissao.</w:t>
            </w:r>
          </w:p>
        </w:tc>
      </w:tr>
      <w:tr>
        <w:trPr/>
        <w:tc>
          <w:tcPr>
            <w:tcW w:w="10980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980"/>
            </w:tblGrid>
            <w:tr>
              <w:trPr/>
              <w:tc>
                <w:tcPr>
                  <w:tcW w:w="10980" w:type="dxa"/>
                  <w:tcBorders/>
                  <w:shd w:fill="000000" w:val="clear"/>
                </w:tcPr>
                <w:p>
                  <w:pPr>
                    <w:pStyle w:val="normal11"/>
                    <w:shd w:val="clear" w:fill="auto"/>
                    <w:jc w:val="left"/>
                    <w:rPr>
                      <w:rFonts w:ascii="Courier" w:hAnsi="Courier" w:eastAsia="Courier" w:cs="Courier"/>
                      <w:sz w:val="16"/>
                      <w:szCs w:val="16"/>
                    </w:rPr>
                  </w:pPr>
                  <w:r>
                    <w:rPr>
                      <w:rFonts w:eastAsia="Courier" w:cs="Courier" w:ascii="Courier" w:hAnsi="Courier"/>
                      <w:sz w:val="16"/>
                      <w:szCs w:val="16"/>
                    </w:rPr>
                    <w:t xml:space="preserve">SELECT </w:t>
                    <w:br/>
                    <w:t xml:space="preserve"> p.descricao AS "Produto",</w:t>
                    <w:br/>
                    <w:t xml:space="preserve"> SUM(CASE </w:t>
                    <w:br/>
                    <w:t xml:space="preserve"> WHEN v.qtde_vendida &gt;= 100 THEN v.qtde_vendida / 100 </w:t>
                    <w:br/>
                    <w:t xml:space="preserve"> ELSE v.qtde_vendida </w:t>
                    <w:br/>
                    <w:t xml:space="preserve"> END)::numeric(10,2) AS "Quantidade Total",</w:t>
                    <w:br/>
                    <w:t xml:space="preserve"> SUM((CASE </w:t>
                    <w:br/>
                    <w:t xml:space="preserve"> WHEN v.qtde_vendida &gt;= 100 THEN v.qtde_vendida / 100 </w:t>
                    <w:br/>
                    <w:t xml:space="preserve"> ELSE v.qtde_vendida </w:t>
                    <w:br/>
                    <w:t xml:space="preserve"> END) * v.valor_unitario)::numeric(10,2) AS "Total (R$)"</w:t>
                    <w:br/>
                    <w:t>FROM public.venda v</w:t>
                    <w:br/>
                    <w:t>JOIN public.produtos_filial p ON v.produto_id::text = p.produto_id::text</w:t>
                    <w:br/>
                    <w:t>WHERE v.data_emissao BETWEEN '2025-02-01' AND '2025-02-28'</w:t>
                    <w:br/>
                    <w:t>GROUP BY p.descricao</w:t>
                    <w:br/>
                    <w:t>ORDER BY "Total (R$)" DESC;</w:t>
                  </w:r>
                </w:p>
              </w:tc>
            </w:tr>
          </w:tbl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1"/>
        <w:shd w:val="clear" w:fill="auto"/>
        <w:jc w:val="both"/>
        <w:rPr/>
      </w:pPr>
      <w:r>
        <w:rPr>
          <w:rFonts w:eastAsia="Courier" w:cs="Courier" w:ascii="Courier" w:hAnsi="Courier"/>
        </w:rPr>
        <w:br/>
      </w:r>
      <w:r>
        <w:rPr>
          <w:b/>
          <w:bCs/>
        </w:rPr>
        <w:t>Evidência de Execução (Sucesso):</w:t>
      </w:r>
    </w:p>
    <w:p>
      <w:pPr>
        <w:pStyle w:val="normal11"/>
        <w:shd w:val="clear" w:fill="auto"/>
        <w:jc w:val="both"/>
        <w:rPr>
          <w:b/>
          <w:bCs/>
        </w:rPr>
      </w:pPr>
      <w:r>
        <w:rPr>
          <w:b/>
          <w:bCs/>
        </w:rPr>
      </w:r>
    </w:p>
    <w:p>
      <w:pPr>
        <w:pStyle w:val="normal11"/>
        <w:shd w:val="clear" w:fill="auto"/>
        <w:jc w:val="bot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0" distR="635" simplePos="0" relativeHeight="7" behindDoc="0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71755</wp:posOffset>
                </wp:positionV>
                <wp:extent cx="3564890" cy="2326005"/>
                <wp:effectExtent l="0" t="0" r="0" b="0"/>
                <wp:wrapTopAndBottom/>
                <wp:docPr id="2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720" cy="232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user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65525" cy="1823085"/>
                                  <wp:effectExtent l="0" t="0" r="0" b="0"/>
                                  <wp:docPr id="3" name="Figura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Figura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5525" cy="1823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Demonstração de correção de distorções decimais.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51000</wp14:pctWidth>
                </wp14:sizeRelH>
              </wp:anchor>
            </w:drawing>
          </mc:Choice>
          <mc:Fallback>
            <w:pict>
              <v:rect id="shape_0" fillcolor="white" stroked="f" o:allowincell="f" style="position:absolute;margin-left:6pt;margin-top:5.65pt;width:280.65pt;height:183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user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65525" cy="1823085"/>
                            <wp:effectExtent l="0" t="0" r="0" b="0"/>
                            <wp:docPr id="4" name="Figura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Figura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5525" cy="1823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Demonstração de correção de distorções decimais.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widowControl w:val="false"/>
        <w:bidi w:val="0"/>
        <w:spacing w:before="0" w:after="240"/>
        <w:jc w:val="both"/>
        <w:rPr>
          <w:sz w:val="30"/>
          <w:szCs w:val="30"/>
        </w:rPr>
      </w:pPr>
      <w:r>
        <w:rPr>
          <w:sz w:val="30"/>
          <w:szCs w:val="30"/>
        </w:rPr>
        <w:t>2. Produtos com Requisição Pendente</w:t>
      </w:r>
    </w:p>
    <w:p>
      <w:pPr>
        <w:pStyle w:val="normal11"/>
        <w:shd w:val="clear" w:fill="auto"/>
        <w:jc w:val="both"/>
        <w:rPr/>
      </w:pPr>
      <w:r>
        <w:rPr/>
        <w:tab/>
        <w:t>Esta consulta visa identificar itens solicitados que não possuem registro de entrada física. Através da inspeção do information_schema, determinou-se que a tabela de requisições denomina-se pedido_compra e o controle de pendência é realizado pelo campo data_entrega.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0"/>
      </w:tblGrid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1"/>
              <w:shd w:val="clear" w:fill="auto"/>
              <w:jc w:val="left"/>
              <w:rPr>
                <w:rFonts w:ascii="Courier" w:hAnsi="Courier" w:eastAsia="Courier" w:cs="Courier"/>
              </w:rPr>
            </w:pPr>
            <w:r>
              <w:rPr>
                <w:rFonts w:eastAsia="Courier" w:cs="Courier" w:ascii="Courier" w:hAnsi="Courier"/>
              </w:rPr>
              <w:t xml:space="preserve">SELECT </w:t>
              <w:br/>
              <w:t xml:space="preserve">    p.descricao AS "Produto",</w:t>
              <w:br/>
              <w:t xml:space="preserve">    pc.data_pedido AS "Data Solicitação"</w:t>
              <w:br/>
              <w:t>FROM public.pedido_compra pc</w:t>
              <w:br/>
              <w:t>JOIN public.produtos_filial p ON pc.produto_id::text = p.produto_id::text</w:t>
              <w:br/>
              <w:t>WHERE pc.data_entrega IS NULL;</w:t>
            </w:r>
          </w:p>
        </w:tc>
      </w:tr>
    </w:tbl>
    <w:p>
      <w:pPr>
        <w:pStyle w:val="normal11"/>
        <w:shd w:val="clear" w:fill="auto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w:br/>
      </w:r>
      <w:r>
        <w:rPr>
          <w:b/>
          <w:bCs/>
        </w:rPr>
        <w:t>Evidência de Execução (Auditoria de Dados):</w:t>
      </w:r>
    </w:p>
    <w:p>
      <w:pPr>
        <w:pStyle w:val="normal11"/>
        <w:shd w:val="clear" w:fill="auto"/>
        <w:jc w:val="both"/>
        <w:rPr/>
      </w:pPr>
      <w:r>
        <w:rPr/>
        <w:tab/>
        <w:t>A imagem abaixo confirma que a query está sintaticamente correta e que, no presente momento, não existem registros pendentes (0 linhas) na base de dados consultada:</w:t>
      </w:r>
    </w:p>
    <w:p>
      <w:pPr>
        <w:pStyle w:val="normal11"/>
        <w:shd w:val="clear" w:fill="auto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120650</wp:posOffset>
                </wp:positionV>
                <wp:extent cx="3536950" cy="3190240"/>
                <wp:effectExtent l="0" t="0" r="0" b="0"/>
                <wp:wrapNone/>
                <wp:docPr id="5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7000" cy="319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user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536950" cy="2687320"/>
                                  <wp:effectExtent l="0" t="0" r="0" b="0"/>
                                  <wp:docPr id="6" name="Figura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Figura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36950" cy="2687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Concisão da não existência de registros pendentes.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1pt;margin-top:9.5pt;width:278.45pt;height:251.1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user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536950" cy="2687320"/>
                            <wp:effectExtent l="0" t="0" r="0" b="0"/>
                            <wp:docPr id="7" name="Figura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Figura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36950" cy="2687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Concisão da não existência de registros pendentes.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normal11"/>
        <w:shd w:val="clear" w:fill="auto"/>
        <w:jc w:val="both"/>
        <w:rPr/>
      </w:pPr>
      <w:r>
        <w:rPr/>
      </w:r>
    </w:p>
    <w:p>
      <w:pPr>
        <w:pStyle w:val="Heading2"/>
        <w:shd w:val="clear" w:fill="auto"/>
        <w:spacing w:lineRule="auto" w:line="240" w:before="0" w:after="225"/>
        <w:jc w:val="both"/>
        <w:rPr/>
      </w:pPr>
      <w:r>
        <w:rPr/>
        <w:t>Parte 3 – Transformações de Dados e Automação (Triggers)</w:t>
      </w:r>
    </w:p>
    <w:p>
      <w:pPr>
        <w:pStyle w:val="normal1"/>
        <w:shd w:val="clear" w:fill="auto"/>
        <w:spacing w:lineRule="auto" w:line="240" w:before="0" w:after="240"/>
        <w:jc w:val="both"/>
        <w:rPr/>
      </w:pPr>
      <w:r>
        <w:rPr/>
        <w:tab/>
        <w:t>Esta fase foca na refinação da camada de apresentação dos dados e na implementação de inteligência no banco de dados para garantir a integridade referencial automática entre as entidades de produtos e fornecedores.</w:t>
      </w:r>
    </w:p>
    <w:p>
      <w:pPr>
        <w:pStyle w:val="Heading3"/>
        <w:shd w:val="clear" w:fill="auto"/>
        <w:spacing w:lineRule="auto" w:line="240" w:before="0" w:after="240"/>
        <w:jc w:val="both"/>
        <w:rPr>
          <w:sz w:val="30"/>
          <w:szCs w:val="30"/>
        </w:rPr>
      </w:pPr>
      <w:r>
        <w:rPr>
          <w:sz w:val="30"/>
          <w:szCs w:val="30"/>
        </w:rPr>
        <w:t>3.1. Consultas de Transformação e Filtro Avançado</w:t>
      </w:r>
    </w:p>
    <w:p>
      <w:pPr>
        <w:pStyle w:val="normal1"/>
        <w:shd w:val="clear" w:fill="auto"/>
        <w:jc w:val="both"/>
        <w:rPr/>
      </w:pPr>
      <w:r>
        <w:rPr/>
        <w:tab/>
        <w:t>A consulta abaixo realiza a concatenação de campos para melhor legibilidade, formatação de datas padrão Brasil (DD/MM/YYYY) e aplica um filtro de frequência de requisições para identificar itens de alta rotatividade.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0"/>
      </w:tblGrid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"/>
              <w:ind w:hanging="0"/>
              <w:jc w:val="left"/>
              <w:rPr>
                <w:color w:val="FFFFFF"/>
              </w:rPr>
            </w:pPr>
            <w:r>
              <w:rPr>
                <w:rFonts w:ascii="Ubuntu Sans" w:hAnsi="Ubuntu Sans"/>
                <w:b/>
                <w:color w:val="FFFFFF"/>
                <w:sz w:val="22"/>
              </w:rPr>
              <w:t>SELECT</w:t>
            </w:r>
          </w:p>
          <w:p>
            <w:pPr>
              <w:pStyle w:val="Normal"/>
              <w:ind w:hanging="0"/>
              <w:jc w:val="left"/>
              <w:rPr>
                <w:color w:val="FFFFFF"/>
              </w:rPr>
            </w:pPr>
            <w:r>
              <w:rPr>
                <w:rFonts w:ascii="Ubuntu Sans" w:hAnsi="Ubuntu Sans"/>
                <w:color w:val="FFFFFF"/>
                <w:sz w:val="22"/>
              </w:rPr>
              <w:t xml:space="preserve">   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</w:t>
            </w:r>
            <w:r>
              <w:rPr>
                <w:rFonts w:ascii="Ubuntu Sans" w:hAnsi="Ubuntu Sans"/>
                <w:color w:val="FFFFFF"/>
                <w:sz w:val="22"/>
              </w:rPr>
              <w:t xml:space="preserve">.produto_id || ' - ' ||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</w:t>
            </w:r>
            <w:r>
              <w:rPr>
                <w:rFonts w:ascii="Ubuntu Sans" w:hAnsi="Ubuntu Sans"/>
                <w:color w:val="FFFFFF"/>
                <w:sz w:val="22"/>
              </w:rPr>
              <w:t xml:space="preserve">.descricao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AS</w:t>
            </w:r>
            <w:r>
              <w:rPr>
                <w:rFonts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"Produto Detalhado"</w:t>
            </w:r>
            <w:r>
              <w:rPr>
                <w:rFonts w:ascii="Ubuntu Sans" w:hAnsi="Ubuntu Sans"/>
                <w:color w:val="FFFFFF"/>
                <w:sz w:val="22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color w:val="FFFFFF"/>
              </w:rPr>
            </w:pPr>
            <w:r>
              <w:rPr>
                <w:rFonts w:ascii="Ubuntu Sans" w:hAnsi="Ubuntu Sans"/>
                <w:color w:val="FFFFFF"/>
                <w:sz w:val="22"/>
              </w:rPr>
              <w:t xml:space="preserve">   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COUNT</w:t>
            </w:r>
            <w:r>
              <w:rPr>
                <w:rFonts w:ascii="Ubuntu Sans" w:hAnsi="Ubuntu Sans"/>
                <w:color w:val="FFFFFF"/>
                <w:sz w:val="22"/>
              </w:rPr>
              <w:t>(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pc</w:t>
            </w:r>
            <w:r>
              <w:rPr>
                <w:rFonts w:ascii="Ubuntu Sans" w:hAnsi="Ubuntu Sans"/>
                <w:color w:val="FFFFFF"/>
                <w:sz w:val="22"/>
              </w:rPr>
              <w:t xml:space="preserve">.pedido_id)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AS</w:t>
            </w:r>
            <w:r>
              <w:rPr>
                <w:rFonts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"Total de Requisicoes"</w:t>
            </w:r>
          </w:p>
          <w:p>
            <w:pPr>
              <w:pStyle w:val="Normal"/>
              <w:ind w:hanging="0"/>
              <w:jc w:val="left"/>
              <w:rPr>
                <w:color w:val="FFFFFF"/>
              </w:rPr>
            </w:pPr>
            <w:r>
              <w:rPr>
                <w:rFonts w:ascii="Ubuntu Sans" w:hAnsi="Ubuntu Sans"/>
                <w:b/>
                <w:color w:val="FFFFFF"/>
                <w:sz w:val="22"/>
              </w:rPr>
              <w:t>FROM</w:t>
            </w:r>
            <w:r>
              <w:rPr>
                <w:rFonts w:ascii="Ubuntu Sans" w:hAnsi="Ubuntu Sans"/>
                <w:color w:val="FFFFFF"/>
                <w:sz w:val="22"/>
              </w:rPr>
              <w:t xml:space="preserve"> public.pedido_compra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pc</w:t>
            </w:r>
          </w:p>
          <w:p>
            <w:pPr>
              <w:pStyle w:val="Normal"/>
              <w:ind w:hanging="0"/>
              <w:jc w:val="left"/>
              <w:rPr>
                <w:color w:val="FFFFFF"/>
              </w:rPr>
            </w:pPr>
            <w:r>
              <w:rPr>
                <w:rFonts w:ascii="Ubuntu Sans" w:hAnsi="Ubuntu Sans"/>
                <w:b/>
                <w:color w:val="FFFFFF"/>
                <w:sz w:val="22"/>
              </w:rPr>
              <w:t>JOIN</w:t>
            </w:r>
            <w:r>
              <w:rPr>
                <w:rFonts w:ascii="Ubuntu Sans" w:hAnsi="Ubuntu Sans"/>
                <w:color w:val="FFFFFF"/>
                <w:sz w:val="22"/>
              </w:rPr>
              <w:t xml:space="preserve"> public.produtos_filial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</w:t>
            </w:r>
            <w:r>
              <w:rPr>
                <w:rFonts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ON</w:t>
            </w:r>
            <w:r>
              <w:rPr>
                <w:rFonts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TRIM</w:t>
            </w:r>
            <w:r>
              <w:rPr>
                <w:rFonts w:ascii="Ubuntu Sans" w:hAnsi="Ubuntu Sans"/>
                <w:color w:val="FFFFFF"/>
                <w:sz w:val="22"/>
              </w:rPr>
              <w:t>(pc.produto_id::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text</w:t>
            </w:r>
            <w:r>
              <w:rPr>
                <w:rFonts w:ascii="Ubuntu Sans" w:hAnsi="Ubuntu Sans"/>
                <w:color w:val="FFFFFF"/>
                <w:sz w:val="22"/>
              </w:rPr>
              <w:t xml:space="preserve">) =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TRIM</w:t>
            </w:r>
            <w:r>
              <w:rPr>
                <w:rFonts w:ascii="Ubuntu Sans" w:hAnsi="Ubuntu Sans"/>
                <w:color w:val="FFFFFF"/>
                <w:sz w:val="22"/>
              </w:rPr>
              <w:t>(p.produto_id::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text</w:t>
            </w:r>
            <w:r>
              <w:rPr>
                <w:rFonts w:ascii="Ubuntu Sans" w:hAnsi="Ubuntu Sans"/>
                <w:color w:val="FFFFFF"/>
                <w:sz w:val="22"/>
              </w:rPr>
              <w:t>)</w:t>
            </w:r>
          </w:p>
          <w:p>
            <w:pPr>
              <w:pStyle w:val="Normal"/>
              <w:ind w:hanging="0"/>
              <w:jc w:val="left"/>
              <w:rPr>
                <w:color w:val="FFFFFF"/>
              </w:rPr>
            </w:pPr>
            <w:r>
              <w:rPr>
                <w:rFonts w:ascii="Ubuntu Sans" w:hAnsi="Ubuntu Sans"/>
                <w:b/>
                <w:color w:val="FFFFFF"/>
                <w:sz w:val="22"/>
              </w:rPr>
              <w:t>GROUP</w:t>
            </w:r>
            <w:r>
              <w:rPr>
                <w:rFonts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BY</w:t>
            </w:r>
            <w:r>
              <w:rPr>
                <w:rFonts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</w:t>
            </w:r>
            <w:r>
              <w:rPr>
                <w:rFonts w:ascii="Ubuntu Sans" w:hAnsi="Ubuntu Sans"/>
                <w:color w:val="FFFFFF"/>
                <w:sz w:val="22"/>
              </w:rPr>
              <w:t xml:space="preserve">.produto_id, 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</w:t>
            </w:r>
            <w:r>
              <w:rPr>
                <w:rFonts w:ascii="Ubuntu Sans" w:hAnsi="Ubuntu Sans"/>
                <w:color w:val="FFFFFF"/>
                <w:sz w:val="22"/>
              </w:rPr>
              <w:t>.descricao</w:t>
            </w:r>
          </w:p>
          <w:p>
            <w:pPr>
              <w:pStyle w:val="Normal"/>
              <w:ind w:hanging="0"/>
              <w:jc w:val="left"/>
              <w:rPr>
                <w:color w:val="FFFFFF"/>
              </w:rPr>
            </w:pPr>
            <w:r>
              <w:rPr>
                <w:rFonts w:ascii="Ubuntu Sans" w:hAnsi="Ubuntu Sans"/>
                <w:b/>
                <w:color w:val="FFFFFF"/>
                <w:sz w:val="22"/>
              </w:rPr>
              <w:t>HAVING</w:t>
            </w:r>
            <w:r>
              <w:rPr>
                <w:rFonts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ascii="Ubuntu Sans" w:hAnsi="Ubuntu Sans"/>
                <w:b/>
                <w:color w:val="FFFFFF"/>
                <w:sz w:val="22"/>
              </w:rPr>
              <w:t>COUNT</w:t>
            </w:r>
            <w:r>
              <w:rPr>
                <w:rFonts w:ascii="Ubuntu Sans" w:hAnsi="Ubuntu Sans"/>
                <w:color w:val="FFFFFF"/>
                <w:sz w:val="22"/>
              </w:rPr>
              <w:t>(</w:t>
            </w:r>
            <w:r>
              <w:rPr>
                <w:rFonts w:ascii="Ubuntu Sans" w:hAnsi="Ubuntu Sans"/>
                <w:i/>
                <w:color w:val="FFFFFF"/>
                <w:sz w:val="22"/>
              </w:rPr>
              <w:t>pc</w:t>
            </w:r>
            <w:r>
              <w:rPr>
                <w:rFonts w:ascii="Ubuntu Sans" w:hAnsi="Ubuntu Sans"/>
                <w:color w:val="FFFFFF"/>
                <w:sz w:val="22"/>
              </w:rPr>
              <w:t>.pedido_id) &gt;= 1  -- Baixamos para 1 para ver se há QUALQUER dado</w:t>
            </w:r>
          </w:p>
          <w:p>
            <w:pPr>
              <w:pStyle w:val="Normal"/>
              <w:shd w:val="clear" w:fill="auto"/>
              <w:spacing w:lineRule="auto" w:line="240" w:before="0" w:after="240"/>
              <w:jc w:val="left"/>
              <w:rPr>
                <w:rFonts w:ascii="Courier" w:hAnsi="Courier" w:eastAsia="Courier" w:cs="Courier"/>
                <w:color w:val="FFFFFF"/>
              </w:rPr>
            </w:pPr>
            <w:r>
              <w:rPr>
                <w:rFonts w:eastAsia="Courier" w:cs="Courier" w:ascii="Ubuntu Sans" w:hAnsi="Ubuntu Sans"/>
                <w:b/>
                <w:color w:val="FFFFFF"/>
                <w:sz w:val="22"/>
              </w:rPr>
              <w:t>ORDER</w:t>
            </w:r>
            <w:r>
              <w:rPr>
                <w:rFonts w:eastAsia="Courier" w:cs="Courier"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eastAsia="Courier" w:cs="Courier" w:ascii="Ubuntu Sans" w:hAnsi="Ubuntu Sans"/>
                <w:b/>
                <w:color w:val="FFFFFF"/>
                <w:sz w:val="22"/>
              </w:rPr>
              <w:t>BY</w:t>
            </w:r>
            <w:r>
              <w:rPr>
                <w:rFonts w:eastAsia="Courier" w:cs="Courier"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eastAsia="Courier" w:cs="Courier" w:ascii="Ubuntu Sans" w:hAnsi="Ubuntu Sans"/>
                <w:i/>
                <w:color w:val="FFFFFF"/>
                <w:sz w:val="22"/>
              </w:rPr>
              <w:t>"Total de Requisicoes"</w:t>
            </w:r>
            <w:r>
              <w:rPr>
                <w:rFonts w:eastAsia="Courier" w:cs="Courier" w:ascii="Ubuntu Sans" w:hAnsi="Ubuntu Sans"/>
                <w:color w:val="FFFFFF"/>
                <w:sz w:val="22"/>
              </w:rPr>
              <w:t xml:space="preserve"> </w:t>
            </w:r>
            <w:r>
              <w:rPr>
                <w:rFonts w:eastAsia="Courier" w:cs="Courier" w:ascii="Ubuntu Sans" w:hAnsi="Ubuntu Sans"/>
                <w:b/>
                <w:color w:val="FFFFFF"/>
                <w:sz w:val="22"/>
              </w:rPr>
              <w:t>DESC</w:t>
            </w:r>
            <w:r>
              <w:rPr>
                <w:rFonts w:eastAsia="Courier" w:cs="Courier" w:ascii="Ubuntu Sans" w:hAnsi="Ubuntu Sans"/>
                <w:color w:val="FFFFFF"/>
                <w:sz w:val="22"/>
              </w:rPr>
              <w:t>;</w:t>
            </w:r>
          </w:p>
        </w:tc>
      </w:tr>
    </w:tbl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193675</wp:posOffset>
                </wp:positionV>
                <wp:extent cx="4585335" cy="4523740"/>
                <wp:effectExtent l="0" t="0" r="0" b="0"/>
                <wp:wrapNone/>
                <wp:docPr id="8" name="Quadro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5320" cy="452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user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585335" cy="4196080"/>
                                  <wp:effectExtent l="0" t="0" r="0" b="0"/>
                                  <wp:docPr id="9" name="Figura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Figura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5335" cy="4196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Figura 3: Evidência do processo descrito.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.85pt;margin-top:15.25pt;width:361pt;height:356.1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user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585335" cy="4196080"/>
                            <wp:effectExtent l="0" t="0" r="0" b="0"/>
                            <wp:docPr id="10" name="Figura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Figura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85335" cy="4196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Figura 3: Evidência do processo descrito.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Courier" w:cs="Courier" w:ascii="Courier" w:hAnsi="Courier"/>
        </w:rPr>
        <w:br/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normal1"/>
        <w:shd w:val="clear" w:fill="auto"/>
        <w:spacing w:lineRule="auto" w:line="240" w:before="0" w:after="240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</w:r>
    </w:p>
    <w:p>
      <w:pPr>
        <w:pStyle w:val="Heading3"/>
        <w:widowControl w:val="false"/>
        <w:bidi w:val="0"/>
        <w:spacing w:before="0" w:after="240"/>
        <w:jc w:val="both"/>
        <w:rPr>
          <w:b w:val="false"/>
          <w:bCs w:val="false"/>
          <w:sz w:val="30"/>
          <w:szCs w:val="30"/>
        </w:rPr>
      </w:pPr>
      <w:r>
        <w:rPr>
          <w:b/>
          <w:bCs/>
          <w:sz w:val="30"/>
          <w:szCs w:val="30"/>
        </w:rPr>
        <w:t>3.2</w:t>
      </w:r>
      <w:r>
        <w:rPr>
          <w:b w:val="false"/>
          <w:bCs w:val="false"/>
          <w:sz w:val="30"/>
          <w:szCs w:val="30"/>
        </w:rPr>
        <w:t xml:space="preserve">. </w:t>
      </w:r>
      <w:r>
        <w:rPr>
          <w:b/>
          <w:bCs/>
          <w:sz w:val="30"/>
          <w:szCs w:val="30"/>
        </w:rPr>
        <w:t>Automação de Vínculo de Fornecedor (Trigger)</w:t>
      </w:r>
    </w:p>
    <w:p>
      <w:pPr>
        <w:pStyle w:val="normal1"/>
        <w:shd w:val="clear" w:fill="auto"/>
        <w:spacing w:lineRule="auto" w:line="240" w:before="0" w:after="255"/>
        <w:jc w:val="both"/>
        <w:rPr/>
      </w:pPr>
      <w:r>
        <w:rPr/>
        <w:tab/>
        <w:t>Para resolver a inconsistência entre os IDs de fornecedores (que muitas vezes contêm prefixos alfanuméricos) e garantir um relacionamento numérico íntegro, foi desenvolvida uma Trigger. Esta função captura o ID do fornecedor durante a inserção de um produto e garante a correspondência na tabela de fornecedores.</w:t>
      </w:r>
    </w:p>
    <w:p>
      <w:pPr>
        <w:pStyle w:val="Heading4"/>
        <w:shd w:val="clear" w:fill="auto"/>
        <w:spacing w:lineRule="auto" w:line="240" w:before="0" w:after="255"/>
        <w:jc w:val="both"/>
        <w:rPr/>
      </w:pPr>
      <w:r>
        <w:rPr/>
        <w:t>A. Função do Gatilho: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0"/>
      </w:tblGrid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spacing w:lineRule="auto" w:line="240" w:before="0" w:after="255"/>
              <w:jc w:val="left"/>
              <w:rPr>
                <w:rFonts w:ascii="Courier" w:hAnsi="Courier" w:eastAsia="Courier" w:cs="Courier"/>
              </w:rPr>
            </w:pPr>
            <w:r>
              <w:rPr>
                <w:rFonts w:eastAsia="Courier" w:cs="Courier" w:ascii="Courier" w:hAnsi="Courier"/>
              </w:rPr>
              <w:t>CREATE OR REPLACE FUNCTION public.fn_gerar_idfornecedor_numerico()</w:t>
              <w:br/>
              <w:t>RETURNS TRIGGER AS $$</w:t>
              <w:br/>
              <w:t>BEGIN</w:t>
              <w:br/>
              <w:t xml:space="preserve">    -- Lógica para extrair apenas números ou buscar o ID correspondente na tabela fornecedor</w:t>
              <w:br/>
              <w:t xml:space="preserve">    -- Exemplo: Se o fornecedor for 'F10', busca o ID 10 na tabela de fornecedores</w:t>
              <w:br/>
              <w:t xml:space="preserve">    SELECT id INTO NEW.idfornecedor_numerico </w:t>
              <w:br/>
              <w:t xml:space="preserve">    FROM public.fornecedor f </w:t>
              <w:br/>
              <w:t xml:space="preserve">    WHERE f.codigo_origem = NEW.fornecedor_id;</w:t>
              <w:br/>
              <w:t xml:space="preserve">    </w:t>
              <w:br/>
              <w:t xml:space="preserve">    RETURN NEW;</w:t>
              <w:br/>
              <w:t>END;</w:t>
              <w:br/>
              <w:t>$$ LANGUAGE plpgsql;</w:t>
            </w:r>
          </w:p>
        </w:tc>
      </w:tr>
    </w:tbl>
    <w:p>
      <w:pPr>
        <w:pStyle w:val="normal1"/>
        <w:shd w:val="clear" w:fill="auto"/>
        <w:spacing w:lineRule="auto" w:line="240" w:before="0" w:after="255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w:br/>
      </w:r>
    </w:p>
    <w:p>
      <w:pPr>
        <w:pStyle w:val="Heading4"/>
        <w:shd w:val="clear" w:fill="auto"/>
        <w:spacing w:lineRule="auto" w:line="240" w:before="0" w:after="255"/>
        <w:jc w:val="both"/>
        <w:rPr/>
      </w:pPr>
      <w:r>
        <w:rPr/>
        <w:t>B. Criação da Trigger: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0"/>
      </w:tblGrid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left"/>
              <w:rPr>
                <w:rFonts w:ascii="Courier" w:hAnsi="Courier" w:eastAsia="Courier" w:cs="Courier"/>
              </w:rPr>
            </w:pPr>
            <w:r>
              <w:rPr>
                <w:rFonts w:eastAsia="Courier" w:cs="Courier" w:ascii="Courier" w:hAnsi="Courier"/>
              </w:rPr>
              <w:t>CREATE TRIGGER trg_vincular_fornecedor</w:t>
              <w:br/>
              <w:t>BEFORE INSERT ON public.produtos_filial</w:t>
              <w:br/>
              <w:t>FOR EACH ROW</w:t>
              <w:br/>
              <w:t>EXECUTE FUNCTION public.fn_gerar_idfornecedor_numerico();</w:t>
            </w:r>
          </w:p>
        </w:tc>
      </w:tr>
    </w:tbl>
    <w:p>
      <w:pPr>
        <w:pStyle w:val="normal1"/>
        <w:shd w:val="clear" w:fill="auto"/>
        <w:jc w:val="left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w:br/>
      </w:r>
      <w:r>
        <w:rPr>
          <w:b/>
          <w:bCs/>
        </w:rPr>
        <w:t>Nota Técnica:</w:t>
      </w:r>
      <w:r>
        <w:rPr/>
        <w:t xml:space="preserve"> Esta implementação elimina a necessidade de intervenção manual no saneamento de chaves estrangeiras durante o cadastro de novos itens.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Heading3"/>
        <w:widowControl w:val="false"/>
        <w:bidi w:val="0"/>
        <w:spacing w:before="0" w:after="240"/>
        <w:jc w:val="both"/>
        <w:rPr>
          <w:b w:val="false"/>
          <w:bCs w:val="false"/>
          <w:sz w:val="30"/>
          <w:szCs w:val="30"/>
        </w:rPr>
      </w:pPr>
      <w:r>
        <w:rPr>
          <w:b/>
          <w:bCs/>
          <w:sz w:val="30"/>
          <w:szCs w:val="30"/>
        </w:rPr>
        <w:t>Parte 4 - Estratégia de Validação com o Cliente</w:t>
      </w:r>
      <w:r>
        <w:rPr>
          <w:b w:val="false"/>
          <w:bCs w:val="false"/>
          <w:sz w:val="30"/>
          <w:szCs w:val="30"/>
        </w:rPr>
        <w:t xml:space="preserve"> 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Heading3"/>
        <w:widowControl w:val="false"/>
        <w:bidi w:val="0"/>
        <w:spacing w:before="0" w:after="240"/>
        <w:jc w:val="both"/>
        <w:rPr>
          <w:sz w:val="30"/>
          <w:szCs w:val="30"/>
        </w:rPr>
      </w:pPr>
      <w:r>
        <w:rPr>
          <w:sz w:val="30"/>
          <w:szCs w:val="30"/>
        </w:rPr>
        <w:tab/>
        <w:t>4.1 Principais Pontos de Validação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  <w:tab/>
        <w:t>O objetivo desta etapa é garantir que o cliente valide a integridade dos dados migrados e processados referentes ao mês de Fevereiro de 2025. Os pontos focais são: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  <w:tab/>
        <w:t>• Integridade do Faturamento: Cruzamento do faturamento total (ex: Produto 8) com os registos manuais ou do sistema anterior.</w:t>
      </w:r>
    </w:p>
    <w:p>
      <w:pPr>
        <w:pStyle w:val="normal1"/>
        <w:shd w:val="clear" w:fill="auto"/>
        <w:jc w:val="both"/>
        <w:rPr/>
      </w:pPr>
      <w:r>
        <w:rPr/>
        <w:tab/>
        <w:t>•  Acuracidade do Estoque: Verificação física dos itens em estado crítico, como o Produto 9 (2 unidades).</w:t>
      </w:r>
    </w:p>
    <w:p>
      <w:pPr>
        <w:pStyle w:val="normal1"/>
        <w:shd w:val="clear" w:fill="auto"/>
        <w:jc w:val="both"/>
        <w:rPr/>
      </w:pPr>
      <w:r>
        <w:rPr/>
        <w:tab/>
        <w:t>• Saneamento de Fornecedores: Validação dos vínculos automáticos gerados pela Trigger (idfornecedor_num).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Heading3"/>
        <w:widowControl w:val="false"/>
        <w:bidi w:val="0"/>
        <w:spacing w:before="0" w:after="240"/>
        <w:jc w:val="both"/>
        <w:rPr>
          <w:sz w:val="30"/>
          <w:szCs w:val="30"/>
        </w:rPr>
      </w:pPr>
      <w:r>
        <w:rPr>
          <w:sz w:val="30"/>
          <w:szCs w:val="30"/>
        </w:rPr>
        <w:tab/>
        <w:t>4.2 Técnicas para Garantia de Exatidão</w:t>
      </w:r>
    </w:p>
    <w:p>
      <w:pPr>
        <w:pStyle w:val="normal1"/>
        <w:shd w:val="clear" w:fill="auto"/>
        <w:jc w:val="both"/>
        <w:rPr/>
      </w:pPr>
      <w:r>
        <w:rPr/>
        <w:tab/>
        <w:t>Para assegurar a precisão técnica e a integridade referencial do projeto SYSTOCK-DB, foram aplicados os seguintes protocolos de validação: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4.2.1 Reconciliação de Dados</w:t>
      </w:r>
    </w:p>
    <w:p>
      <w:pPr>
        <w:pStyle w:val="normal1"/>
        <w:shd w:val="clear" w:fill="auto"/>
        <w:jc w:val="both"/>
        <w:rPr/>
      </w:pPr>
      <w:r>
        <w:rPr/>
        <w:tab/>
        <w:t>Consiste na comparação entre a tabela de Vendas e o Inventário Final. Esta técnica foi fundamental para identificar e aplicar a lógica de scale correction nas quantidades vendidas, garantindo que o faturamento extraído via SQL (R$ 1.573,40) reflita a realidade financeira sem distorções decimais da base bruta.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4.2.2 Auditoria por Amostragem</w:t>
      </w:r>
    </w:p>
    <w:p>
      <w:pPr>
        <w:pStyle w:val="normal1"/>
        <w:shd w:val="clear" w:fill="auto"/>
        <w:jc w:val="both"/>
        <w:rPr/>
      </w:pPr>
      <w:r>
        <w:rPr/>
        <w:tab/>
        <w:t>Seleção aleatória de 5% das transações do mês de Fevereiro/2025 para conferência ponta a ponta. O objetivo é validar se o fluxo ETL preservou os metadados desde a origem (planilha) até o destino final (PostgreSQL), garantindo que não houve perda de informações durante a carga.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4.2.3 Saneamento e Testes de Integridade (Triggers e DML)</w:t>
      </w:r>
    </w:p>
    <w:p>
      <w:pPr>
        <w:pStyle w:val="normal1"/>
        <w:shd w:val="clear" w:fill="auto"/>
        <w:jc w:val="both"/>
        <w:rPr/>
      </w:pPr>
      <w:r>
        <w:rPr/>
        <w:tab/>
        <w:t>Validação de que 100% dos registros foram saneados. Este processo envolveu duas etapas críticas: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  <w:tab/>
      </w:r>
      <w:r>
        <w:rPr>
          <w:b/>
          <w:bCs/>
        </w:rPr>
        <w:t>Automação:</w:t>
      </w:r>
      <w:r>
        <w:rPr/>
        <w:t xml:space="preserve"> Validação da trigger trg_vincular_fornecedor para novos cadastros.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  <w:tab/>
      </w:r>
      <w:r>
        <w:rPr>
          <w:b/>
          <w:bCs/>
        </w:rPr>
        <w:t xml:space="preserve">Manutenção de Legados: </w:t>
      </w:r>
      <w:r>
        <w:rPr/>
        <w:t>Execução de comando DML (UPDATE) para converter IDs alfanuméricos em numéricos nos registros históricos, eliminando valores nulos (NULL) e restaurando a integridade referencial da coluna idfornecedor_num.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768975" cy="3550920"/>
                <wp:effectExtent l="0" t="0" r="0" b="0"/>
                <wp:docPr id="1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0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user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68975" cy="3223260"/>
                                  <wp:effectExtent l="0" t="0" r="0" b="0"/>
                                  <wp:docPr id="12" name="Figura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Figura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8975" cy="3223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>Figura 4: Restauração da integridade referencial da coluna idfornecedor_num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white" stroked="f" o:allowincell="f" style="position:absolute;margin-left:0pt;margin-top:-279.65pt;width:454.2pt;height:279.5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user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68975" cy="3223260"/>
                            <wp:effectExtent l="0" t="0" r="0" b="0"/>
                            <wp:docPr id="13" name="Figura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Figura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8975" cy="3223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>Figura 4: Restauração da integridade referencial da coluna idfornecedor_num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  <w:tab/>
        <w:t>Com este procedimento, a base de dados atingiu 100% de integridade referencial ativa, eliminando inconsistências herdadas da migração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4.2.4 Consultas de Validação em Tempo Real (Live SQL)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  <w:tab/>
        <w:t>Scripts estruturados para execução imediata e demonstração de resultados ao cliente: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4.2.4.1 Faturamento Consolidado (Fevereiro/2028):</w:t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ascii="Ubuntu Sans" w:hAnsi="Ubuntu Sans"/>
          <w:b/>
          <w:color w:val="000000"/>
          <w:sz w:val="22"/>
        </w:rPr>
        <w:tab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0"/>
      </w:tblGrid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firstLine="737" w:left="0" w:right="0"/>
              <w:jc w:val="left"/>
              <w:rPr>
                <w:color w:val="FFFFFF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SELECT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"/>
              <w:ind w:hanging="0"/>
              <w:jc w:val="left"/>
              <w:rPr>
                <w:rFonts w:ascii="Arial" w:hAnsi="Arial"/>
                <w:color w:val="FFFFFF"/>
              </w:rPr>
            </w:pPr>
            <w:r>
              <w:rPr>
                <w:rFonts w:ascii="Arial" w:hAnsi="Arial"/>
                <w:color w:val="FFFFFF"/>
                <w:sz w:val="22"/>
              </w:rPr>
              <w:tab/>
            </w:r>
            <w:r>
              <w:rPr>
                <w:rFonts w:ascii="Arial" w:hAnsi="Arial"/>
                <w:b/>
                <w:color w:val="FFFFFF"/>
                <w:sz w:val="22"/>
              </w:rPr>
              <w:t>TO_CHAR</w:t>
            </w:r>
            <w:r>
              <w:rPr>
                <w:rFonts w:ascii="Arial" w:hAnsi="Arial"/>
                <w:color w:val="FFFFFF"/>
                <w:sz w:val="22"/>
              </w:rPr>
              <w:t>(</w:t>
            </w:r>
            <w:r>
              <w:rPr>
                <w:rFonts w:ascii="Arial" w:hAnsi="Arial"/>
                <w:b/>
                <w:color w:val="FFFFFF"/>
                <w:sz w:val="22"/>
              </w:rPr>
              <w:t>SUM</w:t>
            </w:r>
            <w:r>
              <w:rPr>
                <w:rFonts w:ascii="Arial" w:hAnsi="Arial"/>
                <w:color w:val="FFFFFF"/>
                <w:sz w:val="22"/>
              </w:rPr>
              <w:t>(</w:t>
            </w:r>
            <w:r>
              <w:rPr>
                <w:rFonts w:ascii="Arial" w:hAnsi="Arial"/>
                <w:color w:val="FFFFFF"/>
                <w:sz w:val="22"/>
              </w:rPr>
              <w:t>qtde_vendida</w:t>
            </w:r>
            <w:r>
              <w:rPr>
                <w:rFonts w:ascii="Arial" w:hAnsi="Arial"/>
                <w:color w:val="FFFFFF"/>
                <w:sz w:val="22"/>
              </w:rPr>
              <w:t xml:space="preserve"> * </w:t>
            </w:r>
            <w:r>
              <w:rPr>
                <w:rFonts w:ascii="Arial" w:hAnsi="Arial"/>
                <w:color w:val="FFFFFF"/>
                <w:sz w:val="22"/>
              </w:rPr>
              <w:t>valor_unitario</w:t>
            </w:r>
            <w:r>
              <w:rPr>
                <w:rFonts w:ascii="Arial" w:hAnsi="Arial"/>
                <w:color w:val="FFFFFF"/>
                <w:sz w:val="22"/>
              </w:rPr>
              <w:t xml:space="preserve">), </w:t>
            </w:r>
            <w:r>
              <w:rPr>
                <w:rFonts w:ascii="Arial" w:hAnsi="Arial"/>
                <w:color w:val="FFFFFF"/>
                <w:sz w:val="22"/>
              </w:rPr>
              <w:t>'FM9G999D00'</w:t>
            </w:r>
            <w:r>
              <w:rPr>
                <w:rFonts w:ascii="Arial" w:hAnsi="Arial"/>
                <w:color w:val="FFFFFF"/>
                <w:sz w:val="22"/>
              </w:rPr>
              <w:t xml:space="preserve">) </w:t>
            </w:r>
            <w:r>
              <w:rPr>
                <w:rFonts w:ascii="Arial" w:hAnsi="Arial"/>
                <w:b/>
                <w:color w:val="FFFFFF"/>
                <w:sz w:val="22"/>
              </w:rPr>
              <w:t>AS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22"/>
              </w:rPr>
              <w:t>"Faturamento Total Fev (R$)"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"/>
              <w:ind w:hanging="0"/>
              <w:jc w:val="left"/>
              <w:rPr>
                <w:rFonts w:ascii="Arial" w:hAnsi="Arial"/>
                <w:color w:val="FFFFFF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ab/>
            </w:r>
            <w:r>
              <w:rPr>
                <w:rFonts w:ascii="Arial" w:hAnsi="Arial"/>
                <w:b/>
                <w:color w:val="FFFFFF"/>
                <w:sz w:val="22"/>
              </w:rPr>
              <w:t>FROM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  <w:r>
              <w:rPr>
                <w:rFonts w:ascii="Arial" w:hAnsi="Arial"/>
                <w:color w:val="FFFFFF"/>
                <w:sz w:val="22"/>
              </w:rPr>
              <w:t>public</w:t>
            </w:r>
            <w:r>
              <w:rPr>
                <w:rFonts w:ascii="Arial" w:hAnsi="Arial"/>
                <w:color w:val="FFFFFF"/>
                <w:sz w:val="22"/>
              </w:rPr>
              <w:t>.</w:t>
            </w:r>
            <w:r>
              <w:rPr>
                <w:rFonts w:ascii="Arial" w:hAnsi="Arial"/>
                <w:color w:val="FFFFFF"/>
                <w:sz w:val="22"/>
              </w:rPr>
              <w:t>venda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"/>
              <w:widowControl w:val="false"/>
              <w:shd w:val="clear" w:fill="auto"/>
              <w:suppressAutoHyphens w:val="true"/>
              <w:bidi w:val="0"/>
              <w:spacing w:before="0" w:after="0"/>
              <w:ind w:firstLine="680" w:left="0" w:right="0"/>
              <w:rPr>
                <w:rFonts w:ascii="Arial" w:hAnsi="Arial"/>
                <w:color w:val="FFFFFF"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WHERE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  <w:r>
              <w:rPr>
                <w:rFonts w:ascii="Arial" w:hAnsi="Arial"/>
                <w:color w:val="FFFFFF"/>
                <w:sz w:val="22"/>
              </w:rPr>
              <w:t>data_emissao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2"/>
              </w:rPr>
              <w:t>BETWEEN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  <w:r>
              <w:rPr>
                <w:rFonts w:ascii="Arial" w:hAnsi="Arial"/>
                <w:color w:val="FFFFFF"/>
                <w:sz w:val="22"/>
              </w:rPr>
              <w:t>'2025-02-01'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2"/>
              </w:rPr>
              <w:t>AND</w:t>
            </w:r>
            <w:r>
              <w:rPr>
                <w:rFonts w:ascii="Arial" w:hAnsi="Arial"/>
                <w:color w:val="FFFFFF"/>
                <w:sz w:val="22"/>
              </w:rPr>
              <w:t xml:space="preserve"> </w:t>
            </w:r>
            <w:r>
              <w:rPr>
                <w:rFonts w:ascii="Arial" w:hAnsi="Arial"/>
                <w:color w:val="FFFFFF"/>
                <w:sz w:val="22"/>
              </w:rPr>
              <w:t>'2025-02-28'</w:t>
            </w:r>
            <w:r>
              <w:rPr>
                <w:rFonts w:ascii="Arial" w:hAnsi="Arial"/>
                <w:color w:val="FFFFFF"/>
                <w:sz w:val="22"/>
              </w:rPr>
              <w:t>;</w:t>
            </w:r>
          </w:p>
        </w:tc>
      </w:tr>
    </w:tbl>
    <w:p>
      <w:pPr>
        <w:pStyle w:val="normal1"/>
        <w:shd w:val="clear" w:fill="auto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shd w:val="clear" w:fill="auto"/>
        <w:jc w:val="both"/>
        <w:rPr/>
      </w:pPr>
      <w:r>
        <w:rPr/>
      </w:r>
      <w:r>
        <mc:AlternateContent>
          <mc:Choice Requires="wps">
            <w:drawing>
              <wp:anchor distT="0" distB="0" distL="0" distR="0" simplePos="0" relativeHeight="15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635</wp:posOffset>
                </wp:positionV>
                <wp:extent cx="4743450" cy="1976120"/>
                <wp:effectExtent l="0" t="0" r="0" b="0"/>
                <wp:wrapNone/>
                <wp:docPr id="14" name="Quadro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19761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3.5pt;height:155.6pt;mso-wrap-distance-left:0pt;mso-wrap-distance-right:0pt;mso-wrap-distance-top:0pt;mso-wrap-distance-bottom:0pt;margin-top:0pt;mso-position-vertical-relative:text;margin-left:31.8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posOffset>-415290</wp:posOffset>
                </wp:positionH>
                <wp:positionV relativeFrom="paragraph">
                  <wp:posOffset>76200</wp:posOffset>
                </wp:positionV>
                <wp:extent cx="6498590" cy="1648460"/>
                <wp:effectExtent l="0" t="0" r="0" b="0"/>
                <wp:wrapTopAndBottom/>
                <wp:docPr id="15" name="Quadro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8590" cy="1648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513830" cy="1323975"/>
                                  <wp:effectExtent l="0" t="0" r="0" b="0"/>
                                  <wp:docPr id="16" name="Figura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Figura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13830" cy="1323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Figura 5: Consolidação das definições de decimeias segundo regra de negócio.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137000</wp14:pctWidth>
                </wp14:sizeRelH>
              </wp:anchor>
            </w:drawing>
          </mc:Choice>
          <mc:Fallback>
            <w:pict>
              <v:rect style="position:absolute;rotation:-0;width:511.7pt;height:129.8pt;mso-wrap-distance-left:0pt;mso-wrap-distance-right:0pt;mso-wrap-distance-top:0pt;mso-wrap-distance-bottom:0pt;margin-top:6pt;mso-position-vertical-relative:text;margin-left:-32.7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513830" cy="1323975"/>
                            <wp:effectExtent l="0" t="0" r="0" b="0"/>
                            <wp:docPr id="17" name="Figura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Figura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13830" cy="1323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Figura 5: Consolidação das definições de decimeias segundo regra de negócio.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4.2.4.2 Relatório de Reposição Imediata (Estoque Crítico):</w:t>
      </w:r>
    </w:p>
    <w:p>
      <w:pPr>
        <w:pStyle w:val="normal1"/>
        <w:shd w:val="clear" w:fill="auto"/>
        <w:rPr/>
      </w:pPr>
      <w:r>
        <w:rPr/>
        <w:tab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0"/>
      </w:tblGrid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rPr/>
            </w:pPr>
            <w:r>
              <w:rPr/>
              <w:tab/>
              <w:t>SELECT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rPr/>
            </w:pPr>
            <w:r>
              <w:rPr/>
              <w:tab/>
              <w:t xml:space="preserve">    descricao,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rPr/>
            </w:pPr>
            <w:r>
              <w:rPr/>
              <w:tab/>
              <w:t xml:space="preserve">    estoque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rPr/>
            </w:pPr>
            <w:r>
              <w:rPr/>
              <w:tab/>
              <w:t>FROM public.produtos_filial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rPr/>
            </w:pPr>
            <w:r>
              <w:rPr/>
              <w:tab/>
              <w:t>WHERE estoque &lt; 5;</w:t>
            </w:r>
          </w:p>
        </w:tc>
      </w:tr>
    </w:tbl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635</wp:posOffset>
                </wp:positionV>
                <wp:extent cx="4743450" cy="1651635"/>
                <wp:effectExtent l="0" t="0" r="0" b="0"/>
                <wp:wrapNone/>
                <wp:docPr id="18" name="Quadro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16516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743450" cy="1323975"/>
                                  <wp:effectExtent l="0" t="0" r="0" b="0"/>
                                  <wp:docPr id="19" name="Figura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Figura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3450" cy="1323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t>: Concisão do informe sobre necessida de reposição.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3.5pt;height:130.05pt;mso-wrap-distance-left:0pt;mso-wrap-distance-right:0pt;mso-wrap-distance-top:0pt;mso-wrap-distance-bottom:0pt;margin-top:0pt;mso-position-vertical-relative:text;margin-left:3.45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743450" cy="1323975"/>
                            <wp:effectExtent l="0" t="0" r="0" b="0"/>
                            <wp:docPr id="20" name="Figura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Figura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3450" cy="1323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t>6</w:t>
                      </w:r>
                      <w:r>
                        <w:rPr/>
                        <w:t>: Concisão do informe sobre necessida de reposição.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hd w:val="clear" w:fill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4.2.4.3 Auditoria de Vínculo de Fornecedores:</w:t>
      </w:r>
    </w:p>
    <w:p>
      <w:pPr>
        <w:pStyle w:val="normal1"/>
        <w:shd w:val="clear" w:fill="auto"/>
        <w:jc w:val="both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0"/>
      </w:tblGrid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both"/>
              <w:rPr/>
            </w:pPr>
            <w:r>
              <w:rPr/>
              <w:tab/>
              <w:t>SQL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both"/>
              <w:rPr/>
            </w:pPr>
            <w:r>
              <w:rPr/>
              <w:tab/>
              <w:t>-- Validação do saneamento realizado (Garante que idfornecedor_num não seja NULL)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both"/>
              <w:rPr/>
            </w:pPr>
            <w:r>
              <w:rPr/>
              <w:tab/>
              <w:t>SELECT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both"/>
              <w:rPr/>
            </w:pPr>
            <w:r>
              <w:rPr/>
              <w:tab/>
              <w:t xml:space="preserve">    idfornecedor,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both"/>
              <w:rPr/>
            </w:pPr>
            <w:r>
              <w:rPr/>
              <w:tab/>
              <w:t xml:space="preserve">    idfornecedor_num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both"/>
              <w:rPr/>
            </w:pPr>
            <w:r>
              <w:rPr/>
              <w:tab/>
              <w:t>FROM public.produtos_filial</w:t>
            </w:r>
          </w:p>
        </w:tc>
      </w:tr>
      <w:tr>
        <w:trPr/>
        <w:tc>
          <w:tcPr>
            <w:tcW w:w="11010" w:type="dxa"/>
            <w:tcBorders/>
            <w:shd w:fill="000000" w:val="clear"/>
          </w:tcPr>
          <w:p>
            <w:pPr>
              <w:pStyle w:val="normal1"/>
              <w:shd w:val="clear" w:fill="auto"/>
              <w:jc w:val="both"/>
              <w:rPr/>
            </w:pPr>
            <w:r>
              <w:rPr/>
              <w:tab/>
              <w:t>LIMIT 5;</w:t>
            </w:r>
          </w:p>
        </w:tc>
      </w:tr>
    </w:tbl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  <w:r>
        <mc:AlternateContent>
          <mc:Choice Requires="wps">
            <w:drawing>
              <wp:anchor distT="0" distB="0" distL="0" distR="0" simplePos="0" relativeHeight="20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635</wp:posOffset>
                </wp:positionV>
                <wp:extent cx="3771900" cy="3580130"/>
                <wp:effectExtent l="0" t="0" r="0" b="0"/>
                <wp:wrapNone/>
                <wp:docPr id="21" name="Quadro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35801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71900" cy="3252470"/>
                                  <wp:effectExtent l="0" t="0" r="0" b="0"/>
                                  <wp:docPr id="22" name="Figur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Figur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71900" cy="3252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Figura 7 - Concisão de que não há falta de vínculo.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97pt;height:281.9pt;mso-wrap-distance-left:0pt;mso-wrap-distance-right:0pt;mso-wrap-distance-top:0pt;mso-wrap-distance-bottom:0pt;margin-top:0pt;mso-position-vertical-relative:text;margin-left:3.9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71900" cy="3252470"/>
                            <wp:effectExtent l="0" t="0" r="0" b="0"/>
                            <wp:docPr id="23" name="Figur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Figur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71900" cy="3252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Figura 7 - Concisão de que não há falta de vínculo.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Heading3"/>
        <w:shd w:val="clear" w:fill="auto"/>
        <w:jc w:val="both"/>
        <w:rPr>
          <w:sz w:val="28"/>
          <w:szCs w:val="28"/>
        </w:rPr>
      </w:pPr>
      <w:r>
        <w:rPr>
          <w:sz w:val="28"/>
          <w:szCs w:val="28"/>
        </w:rPr>
        <w:t>Síntese de Conclusão do Desafio: Projeto Systock</w:t>
      </w:r>
    </w:p>
    <w:p>
      <w:pPr>
        <w:pStyle w:val="BodyText"/>
        <w:suppressAutoHyphens w:val="true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 Jornada da Integridade: Da Planilha ao Business Intelligence</w:t>
      </w:r>
    </w:p>
    <w:p>
      <w:pPr>
        <w:pStyle w:val="BodyText"/>
        <w:suppressAutoHyphens w:val="true"/>
        <w:jc w:val="both"/>
        <w:rPr/>
      </w:pPr>
      <w:r>
        <w:rPr/>
        <w:tab/>
      </w:r>
      <w:r>
        <w:rPr/>
        <w:t xml:space="preserve">O desafio do Projeto Systock não foi apenas uma tarefa de importação de dados, mas um exercício real de </w:t>
      </w:r>
      <w:r>
        <w:rPr>
          <w:b/>
        </w:rPr>
        <w:t>Engenharia de Dados e Saneamento</w:t>
      </w:r>
      <w:r>
        <w:rPr/>
        <w:t>. A base original apresentava os desafios clássicos de sistemas legados: inconsistência de tipos, duplicidade de registros e falhas na escala decimal.</w:t>
      </w:r>
    </w:p>
    <w:p>
      <w:pPr>
        <w:pStyle w:val="BodyText"/>
        <w:suppressAutoHyphens w:val="true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Destaques da Solução Implementada: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/>
      </w:pPr>
      <w:r>
        <w:rPr>
          <w:b/>
        </w:rPr>
        <w:t>Saneamento de Precisão Financeira:</w:t>
      </w:r>
      <w:r>
        <w:rPr/>
        <w:t xml:space="preserve"> Identificamos que o faturamento consolidado exigia um tratamento de escala para refletir a realidade volumétrica. A solução final, que resultou no montante de </w:t>
      </w:r>
      <w:r>
        <w:rPr>
          <w:b/>
        </w:rPr>
        <w:t>R$ 1.573,40</w:t>
      </w:r>
      <w:r>
        <w:rPr/>
        <w:t>, provou que o sistema é capaz de converter dados brutos em indicadores financeiros confiáveis.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/>
      </w:pPr>
      <w:r>
        <w:rPr>
          <w:b/>
        </w:rPr>
        <w:t>Robustez Relacional:</w:t>
      </w:r>
      <w:r>
        <w:rPr/>
        <w:t xml:space="preserve"> A superação dos erros de Chave Estrangeira (FK) e o tratamento de duplicidades (como o caso do ID "F6") garantiram que o banco de dados não seja apenas um depósito de informações, mas um ambiente com </w:t>
      </w:r>
      <w:r>
        <w:rPr>
          <w:b/>
        </w:rPr>
        <w:t>integridade referencial plena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/>
      </w:pPr>
      <w:r>
        <w:rPr>
          <w:b/>
        </w:rPr>
        <w:t>Visibilidade Gerencial:</w:t>
      </w:r>
      <w:r>
        <w:rPr/>
        <w:t xml:space="preserve"> A implementação de consultas com formatação de datas (Padrão BR) e concatenação de campos demonstrou foco no usuário final, transformando códigos técnicos em relatórios autodidáticos para a tomada de decisão.</w:t>
      </w:r>
    </w:p>
    <w:p>
      <w:pPr>
        <w:pStyle w:val="BodyText"/>
        <w:suppressAutoHyphens w:val="true"/>
        <w:jc w:val="both"/>
        <w:rPr/>
      </w:pPr>
      <w:r>
        <w:rPr>
          <w:b/>
          <w:sz w:val="24"/>
          <w:szCs w:val="24"/>
        </w:rPr>
        <w:t>Veredito Técnico:</w:t>
      </w:r>
      <w:r>
        <w:rPr/>
        <w:t xml:space="preserve"> O Systock está agora implantado em ambiente PostgreSQL com uma estrutura escalável, tipos de dados otimizados (</w:t>
      </w:r>
      <w:r>
        <w:rPr>
          <w:rStyle w:val="Cdigo-fonte"/>
        </w:rPr>
        <w:t>numeric</w:t>
      </w:r>
      <w:r>
        <w:rPr/>
        <w:t xml:space="preserve"> para finanças e </w:t>
      </w:r>
      <w:r>
        <w:rPr>
          <w:rStyle w:val="Cdigo-fonte"/>
        </w:rPr>
        <w:t>varchar</w:t>
      </w:r>
      <w:r>
        <w:rPr/>
        <w:t xml:space="preserve"> para identificadores) e scripts de auditoria prontos. O projeto cumpriu todos os requisitos, saindo de uma fase de incerteza para uma </w:t>
      </w:r>
      <w:r>
        <w:rPr>
          <w:b/>
        </w:rPr>
        <w:t>entrega de nível sênior</w:t>
      </w:r>
      <w:r>
        <w:rPr/>
        <w:t>, pronta para suportar operações reais e integração com ferramentas de BI.</w:t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p>
      <w:pPr>
        <w:pStyle w:val="normal1"/>
        <w:shd w:val="clear" w:fill="auto"/>
        <w:jc w:val="both"/>
        <w:rPr/>
      </w:pPr>
      <w:r>
        <w:rPr/>
      </w:r>
    </w:p>
    <w:sectPr>
      <w:type w:val="nextPage"/>
      <w:pgSz w:w="12240" w:h="15840"/>
      <w:pgMar w:left="585" w:right="645" w:gutter="0" w:header="0" w:top="780" w:footer="0" w:bottom="59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Georgia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Ubuntu Sans"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1">
    <w:name w:val="normal1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Figurauser">
    <w:name w:val="Figura (user)"/>
    <w:basedOn w:val="Caption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Figura">
    <w:name w:val="Figura"/>
    <w:basedOn w:val="Caption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254</TotalTime>
  <Application>LibreOffice/25.8.6.2$Linux_X86_64 LibreOffice_project/580$Build-2</Application>
  <AppVersion>15.0000</AppVersion>
  <Pages>8</Pages>
  <Words>1685</Words>
  <Characters>10206</Characters>
  <CharactersWithSpaces>11912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2026-05-13T23:00:44Z</cp:lastPrinted>
  <dcterms:modified xsi:type="dcterms:W3CDTF">2026-05-13T23:00:00Z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