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pBdr/>
        <w:shd w:val="clear" w:fill="auto"/>
        <w:spacing w:lineRule="auto" w:line="240" w:before="0" w:after="225"/>
        <w:jc w:val="both"/>
        <w:rPr/>
      </w:pPr>
      <w:r>
        <w:rPr/>
        <w:t>Parte 3 – Transformações de Dados e Automação (Triggers)</w:t>
      </w:r>
    </w:p>
    <w:p>
      <w:pPr>
        <w:pStyle w:val="normal1"/>
        <w:pBdr/>
        <w:shd w:val="clear" w:fill="auto"/>
        <w:spacing w:lineRule="auto" w:line="240" w:before="0" w:after="240"/>
        <w:jc w:val="both"/>
        <w:rPr/>
      </w:pPr>
      <w:r>
        <w:rPr/>
        <w:tab/>
        <w:t>Esta fase foca na refinação da camada de apresentação dos dados e na implementação de inteligência no banco de dados para garantir a integridade referencial automática entre as entidades de produtos e fornecedores.</w:t>
      </w:r>
    </w:p>
    <w:p>
      <w:pPr>
        <w:pStyle w:val="Heading3"/>
        <w:pBdr/>
        <w:shd w:val="clear" w:fill="auto"/>
        <w:spacing w:lineRule="auto" w:line="240" w:before="0" w:after="240"/>
        <w:jc w:val="both"/>
        <w:rPr>
          <w:sz w:val="30"/>
          <w:szCs w:val="30"/>
        </w:rPr>
      </w:pPr>
      <w:r>
        <w:rPr>
          <w:sz w:val="30"/>
          <w:szCs w:val="30"/>
        </w:rPr>
        <w:t>3.</w:t>
      </w:r>
      <w:r>
        <w:rPr>
          <w:sz w:val="30"/>
          <w:szCs w:val="30"/>
        </w:rPr>
        <w:t>1. Consultas de Transformação e Filtro Avançado</w:t>
      </w:r>
    </w:p>
    <w:p>
      <w:pPr>
        <w:pStyle w:val="normal1"/>
        <w:pBdr/>
        <w:shd w:val="clear" w:fill="auto"/>
        <w:jc w:val="both"/>
        <w:rPr/>
      </w:pPr>
      <w:r>
        <w:rPr/>
        <w:tab/>
        <w:t>A consulta abaixo realiza a concatenação de campos para melhor legibilidade, formatação de datas padrão Brasil (DD/MM/YYYY) e aplica um filtro de frequência de requisições para identificar itens de alta rotatividade.</w:t>
      </w:r>
    </w:p>
    <w:p>
      <w:pPr>
        <w:pStyle w:val="normal1"/>
        <w:pBdr/>
        <w:shd w:val="clear" w:fill="auto"/>
        <w:spacing w:lineRule="auto" w:line="240" w:before="0" w:after="240"/>
        <w:jc w:val="start"/>
        <w:rPr/>
      </w:pPr>
      <w:r>
        <w:rPr>
          <w:rFonts w:eastAsia="Courier" w:cs="Courier" w:ascii="Courier" w:hAnsi="Courier"/>
        </w:rPr>
        <w:t xml:space="preserve">SELECT </w:t>
        <w:br/>
        <w:t xml:space="preserve">    p.produto_id || ' - ' || p.descricao AS "Produto Detalhado",</w:t>
        <w:br/>
        <w:t xml:space="preserve">    TO_CHAR(pc.data_pedido, 'DD/MM/YYYY') AS "Data Solicitação Formatada",</w:t>
        <w:br/>
        <w:t xml:space="preserve">    COUNT(pc.pedido_id) OVER(PARTITION BY pc.produto_id) AS "Total de Requisições"</w:t>
        <w:br/>
        <w:t>FROM public.pedido_compra pc</w:t>
        <w:br/>
        <w:t>JOIN public.produtos_filial p ON pc.produto_id::text = p.produto_id::text</w:t>
        <w:br/>
        <w:t>WHERE (</w:t>
        <w:br/>
        <w:t xml:space="preserve">    SELECT COUNT(*) </w:t>
        <w:br/>
        <w:t xml:space="preserve">    FROM public.pedido_compra pc2 </w:t>
        <w:br/>
        <w:t xml:space="preserve">    WHERE pc2.produto_id = pc.produto_id</w:t>
        <w:br/>
        <w:t>) &gt; 10</w:t>
        <w:br/>
        <w:t>ORDER BY "Total de Requisições" DESC;</w:t>
        <w:br/>
      </w:r>
    </w:p>
    <w:p>
      <w:pPr>
        <w:pStyle w:val="Heading3"/>
        <w:widowControl w:val="false"/>
        <w:bidi w:val="0"/>
        <w:spacing w:before="0" w:after="240"/>
        <w:jc w:val="both"/>
        <w:rPr>
          <w:b w:val="false"/>
          <w:bCs w:val="false"/>
          <w:sz w:val="30"/>
          <w:szCs w:val="30"/>
        </w:rPr>
      </w:pPr>
      <w:r>
        <w:rPr>
          <w:b/>
          <w:bCs/>
          <w:sz w:val="30"/>
          <w:szCs w:val="30"/>
        </w:rPr>
        <w:t>3.</w:t>
      </w:r>
      <w:r>
        <w:rPr>
          <w:b/>
          <w:bCs/>
          <w:sz w:val="30"/>
          <w:szCs w:val="30"/>
        </w:rPr>
        <w:t>2</w:t>
      </w:r>
      <w:r>
        <w:rPr>
          <w:b w:val="false"/>
          <w:bCs w:val="false"/>
          <w:sz w:val="30"/>
          <w:szCs w:val="30"/>
        </w:rPr>
        <w:t xml:space="preserve">. </w:t>
      </w:r>
      <w:r>
        <w:rPr>
          <w:b/>
          <w:bCs/>
          <w:sz w:val="30"/>
          <w:szCs w:val="30"/>
        </w:rPr>
        <w:t>Automação de Vínculo de Fornecedor (Trigger)</w:t>
      </w:r>
    </w:p>
    <w:p>
      <w:pPr>
        <w:pStyle w:val="normal1"/>
        <w:pBdr/>
        <w:shd w:val="clear" w:fill="auto"/>
        <w:spacing w:lineRule="auto" w:line="240" w:before="0" w:after="255"/>
        <w:jc w:val="both"/>
        <w:rPr/>
      </w:pPr>
      <w:r>
        <w:rPr/>
        <w:tab/>
        <w:t>Para resolver a inconsistência entre os IDs de fornecedores (que muitas vezes contêm prefixos alfanuméricos) e garantir um relacionamento numérico íntegro, foi desenvolvida uma Trigger. Esta função captura o ID do fornecedor durante a inserção de um produto e garante a correspondência na tabela de fornecedores.</w:t>
      </w:r>
    </w:p>
    <w:p>
      <w:pPr>
        <w:pStyle w:val="Heading4"/>
        <w:pBdr/>
        <w:shd w:val="clear" w:fill="auto"/>
        <w:spacing w:lineRule="auto" w:line="240" w:before="0" w:after="255"/>
        <w:jc w:val="both"/>
        <w:rPr/>
      </w:pPr>
      <w:r>
        <w:rPr/>
        <w:t>A. Função do Gatilho:</w:t>
      </w:r>
    </w:p>
    <w:p>
      <w:pPr>
        <w:pStyle w:val="normal1"/>
        <w:pBdr/>
        <w:shd w:val="clear" w:fill="auto"/>
        <w:spacing w:lineRule="auto" w:line="240" w:before="0" w:after="255"/>
        <w:jc w:val="start"/>
        <w:rPr/>
      </w:pPr>
      <w:r>
        <w:rPr>
          <w:rFonts w:eastAsia="Courier" w:cs="Courier" w:ascii="Courier" w:hAnsi="Courier"/>
        </w:rPr>
        <w:t>CREATE OR REPLACE FUNCTION public.fn_gerar_idfornecedor_numerico()</w:t>
        <w:br/>
        <w:t>RETURNS TRIGGER AS $$</w:t>
        <w:br/>
        <w:t>BEGIN</w:t>
        <w:br/>
        <w:t xml:space="preserve">    -- Lógica para extrair apenas números ou buscar o ID correspondente na tabela fornecedor</w:t>
        <w:br/>
        <w:t xml:space="preserve">    -- Exemplo: Se o fornecedor for 'F10', busca o ID 10 na tabela de fornecedores</w:t>
        <w:br/>
        <w:t xml:space="preserve">    SELECT id INTO NEW.idfornecedor_numerico </w:t>
        <w:br/>
        <w:t xml:space="preserve">    FROM public.fornecedor f </w:t>
        <w:br/>
        <w:t xml:space="preserve">    WHERE f.codigo_origem = NEW.fornecedor_id;</w:t>
        <w:br/>
        <w:t xml:space="preserve">    </w:t>
        <w:br/>
        <w:t xml:space="preserve">    RETURN NEW;</w:t>
        <w:br/>
        <w:t>END;</w:t>
        <w:br/>
        <w:t>$$ LANGUAGE plpgsql;</w:t>
        <w:br/>
      </w:r>
    </w:p>
    <w:p>
      <w:pPr>
        <w:pStyle w:val="Heading4"/>
        <w:pBdr/>
        <w:shd w:val="clear" w:fill="auto"/>
        <w:spacing w:lineRule="auto" w:line="240" w:before="0" w:after="255"/>
        <w:jc w:val="both"/>
        <w:rPr/>
      </w:pPr>
      <w:r>
        <w:rPr/>
        <w:t>B. Criação da Trigger:</w:t>
      </w:r>
    </w:p>
    <w:p>
      <w:pPr>
        <w:pStyle w:val="normal1"/>
        <w:pBdr/>
        <w:shd w:val="clear" w:fill="auto"/>
        <w:jc w:val="start"/>
        <w:rPr/>
      </w:pPr>
      <w:r>
        <w:rPr>
          <w:rFonts w:eastAsia="Courier" w:cs="Courier" w:ascii="Courier" w:hAnsi="Courier"/>
        </w:rPr>
        <w:t>CREATE TRIGGER trg_vincular_fornecedor</w:t>
        <w:br/>
        <w:t>BEFORE INSERT ON public.produtos_filial</w:t>
        <w:br/>
        <w:t>FOR EACH ROW</w:t>
        <w:br/>
        <w:t>EXECUTE FUNCTION public.fn_gerar_idfornecedor_numerico();</w:t>
        <w:br/>
      </w:r>
    </w:p>
    <w:p>
      <w:pPr>
        <w:pStyle w:val="normal1"/>
        <w:pBdr/>
        <w:shd w:val="clear" w:fill="auto"/>
        <w:jc w:val="both"/>
        <w:rPr/>
      </w:pPr>
      <w:r>
        <w:rPr>
          <w:b/>
          <w:bCs/>
        </w:rPr>
        <w:t>Nota Técnica:</w:t>
      </w:r>
      <w:r>
        <w:rPr/>
        <w:t xml:space="preserve"> Esta implementação elimina a necessidade de intervenção manual no saneamento de chaves estrangeiras durante o cadastro de novos itens.</w:t>
      </w:r>
    </w:p>
    <w:sectPr>
      <w:type w:val="nextPage"/>
      <w:pgSz w:w="12240" w:h="15840"/>
      <w:pgMar w:left="1440" w:right="1440" w:gutter="0" w:header="0" w:top="369" w:footer="0" w:bottom="56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LibreOffice/25.8.6.2$Linux_X86_64 LibreOffice_project/580$Build-2</Application>
  <AppVersion>15.0000</AppVersion>
  <Pages>2</Pages>
  <Words>285</Words>
  <Characters>1827</Characters>
  <CharactersWithSpaces>2165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2026-05-12T15:20:10Z</dcterms:modified>
  <cp:revision>2</cp:revision>
  <dc:subject/>
  <dc:title/>
</cp:coreProperties>
</file>