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Memo date: March 18, 2025</w:t>
            </w:r>
          </w:p>
        </w:tc>
      </w:tr>
    </w:tbl>
    <w:p>
      <w:pPr>
        <w:spacing w:after="4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7528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BORROWER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Cedar Bridge Contractors, Inc.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FACILITIES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$2.0M revolving LOC (Prime + 0.75%) · equipment term notes $1.6M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RISK RATING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4 - Satisfactory  (unchanged)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GUARANTY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Elena M. Torres - President and 100% guarantor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ACTION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Approve annual renewal of $2.0M revolving line of credit</w:t>
            </w:r>
          </w:p>
        </w:tc>
      </w:tr>
      <w:tr>
        <w:trPr/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ANALYST / APPROVER</w:t>
            </w:r>
          </w:p>
        </w:tc>
        <w:tc>
          <w:tcPr>
            <w:tcW w:type="dxa" w:w="7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A. Chen, Credit Analyst · R. Delgado, SVP Senior Credit Officer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1. RELATIONSHIP OVERVIEW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Cedar Bridge Contractors, Inc. is a California commercial contractor and a Bank client since 2019. FY2024 revenue was $32.0M and net income $1.8M. The operating account and payroll relationship remain at the Bank; average collected balances approximated $640M-thousand. Line usage was orderly with a clean 30-day annual rest achieved during the review period.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2. MANAGEMENT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Elena M. Torres, President and controlling shareholder, leads the Company. Management is regarded as capable, with estimating discipline noted as an area to monitor following the FY2024 margin result.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2 — Financial summary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3. FINANCIAL SUMMARY — FYE 12/31/2024 (company-prepared)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650"/>
        <w:gridCol w:w="3478"/>
      </w:tblGrid>
      <w:tr>
        <w:trPr>
          <w:tblHeader w:val="true"/>
        </w:trPr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6"/>
              </w:rPr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Revenue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$32,000,000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Gross profit / margin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$3,800,000 · 11.9%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EBITDA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$2,800,000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Net income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$1,750,000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Total interest-bearing debt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$2,500,000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Stockholder's equity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$8,925,000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Contract receivables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nil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$4,450,000</w:t>
            </w:r>
          </w:p>
        </w:tc>
      </w:tr>
      <w:tr>
        <w:trPr/>
        <w:tc>
          <w:tcPr>
            <w:tcW w:type="dxa" w:w="6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6"/>
              </w:rPr>
              <w:t>Distributions to stockholder</w:t>
            </w:r>
          </w:p>
        </w:tc>
        <w:tc>
          <w:tcPr>
            <w:tcW w:type="dxa" w:w="34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$225,000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4. RECEIVABLES AND CUSTOMER BASE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Receivable quality is acceptable and primarily within contractual terms. The largest customer represented $890,000, or 20% of receivables, at December 31, 2024. Management represents that the pipeline is broader-based and expects to diversify the top account during FY2025. Concentration is designated a monitoring item for the next review.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5. FACILITY PERFORMANCE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$2.0M revolver · average utilization approximately 31% · clean 30-day rest. All payments current; borrowing-base certificates are required at elevated utilization.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210"/>
      </w:tblPr>
      <w:tblGrid>
        <w:gridCol w:w="6600"/>
        <w:gridCol w:w="3528"/>
      </w:tblGrid>
      <w:tr>
        <w:trPr/>
        <w:tc>
          <w:tcPr>
            <w:tcW w:type="dxa" w:w="6600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F6F1E7"/>
                <w:sz w:val="28"/>
              </w:rPr>
              <w:t>GOLDEN STATE COMMERCE BANK, N.A.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B08D3E"/>
                <w:sz w:val="15"/>
              </w:rPr>
              <w:t>INTERNAL — CONFIDENTIAL · ANNUAL CREDIT REVIEW FY2024</w:t>
            </w:r>
          </w:p>
        </w:tc>
        <w:tc>
          <w:tcPr>
            <w:tcW w:type="dxa" w:w="3528"/>
            <w:tcMar>
              <w:top w:w="135" w:type="dxa"/>
              <w:bottom w:w="125" w:type="dxa"/>
              <w:start w:w="210" w:type="dxa"/>
              <w:end w:w="210" w:type="dxa"/>
            </w:tcMar>
            <w:shd w:fill="1B2A47"/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60"/>
              <w:jc w:val="right"/>
            </w:pPr>
            <w:r/>
            <w:r>
              <w:rPr>
                <w:rFonts w:ascii="Arial" w:hAnsi="Arial"/>
                <w:b w:val="0"/>
                <w:i w:val="0"/>
                <w:color w:val="B08D3E"/>
                <w:sz w:val="18"/>
              </w:rPr>
              <w:t>CREDIT ADMINISTRATION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F6F1E7"/>
                <w:sz w:val="14"/>
              </w:rPr>
              <w:t>Page 3 — Risk factors, monitoring, approval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6. RISK FACTORS AND MONITORING ITEMS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Customer concentration (MONITORING ITEM)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Top account at 20% of receivables; management expects diversification during FY2025. Re-examine at the next annual review using a customer-level receivables schedule.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Estimating discipline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FY2024 gross margin of 11.9% reflected project mix and estimating pressure. Monitor original-versus-current margin on the FY2025 WIP.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color w:val="1B2A47"/>
          <w:sz w:val="17"/>
        </w:rPr>
        <w:t>Cyclicality</w:t>
      </w:r>
    </w:p>
    <w:p>
      <w:pPr>
        <w:spacing w:after="100"/>
        <w:ind w:left="360"/>
      </w:pPr>
      <w:r>
        <w:rPr>
          <w:rFonts w:ascii="Georgia" w:hAnsi="Georgia"/>
          <w:b w:val="0"/>
          <w:i w:val="0"/>
          <w:color w:val="1B2A47"/>
          <w:sz w:val="16"/>
        </w:rPr>
        <w:t>Commercial construction exposure to the California development cycle; mitigated by operating history and guarantor support.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7. CONDITIONS OF RENEWAL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Annual company-prepared financial statements and federal tax returns within 120 days of fiscal year end; personal financial statement of guarantor annually; customer-level receivables schedule at the FY2025 review; 30-day annual line rest.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20"/>
        </w:rPr>
        <w:t>8. APPROVAL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7"/>
        </w:rPr>
        <w:t>Renewal of the $2.0M revolving line of credit is approved at risk rating 4 - Satisfactory. (Specimen — signatures on file.)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40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  <w:tc>
          <w:tcPr>
            <w:tcW w:type="dxa" w:w="5078"/>
            <w:tcMar>
              <w:top w:w="250" w:type="dxa"/>
              <w:bottom w:w="0" w:type="dxa"/>
              <w:start w:w="40" w:type="dxa"/>
              <w:end w:w="40" w:type="dxa"/>
            </w:tcMar>
            <w:tcBorders>
              <w:top w:val="nil"/>
              <w:bottom w:val="single" w:sz="8" w:color="1B2A47"/>
              <w:start w:val="nil"/>
              <w:end w:val="nil"/>
            </w:tcBorders>
          </w:tcPr>
          <w:p/>
        </w:tc>
      </w:tr>
      <w:tr>
        <w:trPr/>
        <w:tc>
          <w:tcPr>
            <w:tcW w:type="dxa" w:w="5050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A. Chen — Credit Analyst</w:t>
            </w:r>
          </w:p>
        </w:tc>
        <w:tc>
          <w:tcPr>
            <w:tcW w:type="dxa" w:w="5078"/>
            <w:tcMar>
              <w:top w:w="35" w:type="dxa"/>
              <w:bottom w:w="0" w:type="dxa"/>
              <w:start w:w="40" w:type="dxa"/>
              <w:end w:w="4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5B6472"/>
                <w:sz w:val="14"/>
              </w:rPr>
              <w:t>R. Delgado — SVP, Senior Credit Officer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CDD review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CLEAR - ownership certification verified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Golden State Commerce Bank, N.A. — Internal Credit Memorandum (FY2024 annual review)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Prior Credit Memo</dc:title>
  <dc:subject>Sigma parser fixture: 02_approve_with_conditions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