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Date: July 21, 2026</w:t>
            </w:r>
          </w:p>
        </w:tc>
      </w:tr>
    </w:tbl>
    <w:p>
      <w:pPr>
        <w:spacing w:after="40"/>
      </w:pPr>
    </w:p>
    <w:p>
      <w:pPr>
        <w:keepNext/>
        <w:spacing w:before="100" w:after="20"/>
      </w:pPr>
      <w:r>
        <w:rPr>
          <w:rFonts w:ascii="Arial" w:hAnsi="Arial"/>
          <w:b w:val="0"/>
          <w:i w:val="0"/>
          <w:color w:val="1B2A47"/>
          <w:sz w:val="20"/>
        </w:rPr>
        <w:t>SECTION 1 — APPLICANT</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LEGAL BUSINESS NAME</w:t>
            </w:r>
          </w:p>
          <w:p>
            <w:pPr>
              <w:spacing w:after="0"/>
            </w:pPr>
            <w:r>
              <w:rPr>
                <w:rFonts w:ascii="Arial" w:hAnsi="Arial"/>
                <w:b w:val="0"/>
                <w:i w:val="0"/>
                <w:color w:val="1B2A47"/>
                <w:sz w:val="17"/>
              </w:rPr>
              <w:t>Blue Harbor Builders, Inc.</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EIN</w:t>
            </w:r>
          </w:p>
          <w:p>
            <w:pPr>
              <w:spacing w:after="0"/>
            </w:pPr>
            <w:r>
              <w:rPr>
                <w:rFonts w:ascii="Arial" w:hAnsi="Arial"/>
                <w:b w:val="0"/>
                <w:i w:val="0"/>
                <w:color w:val="1B2A47"/>
                <w:sz w:val="17"/>
              </w:rPr>
              <w:t>94-2718364</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BUSINESS STREET ADDRESS</w:t>
            </w:r>
          </w:p>
          <w:p>
            <w:pPr>
              <w:spacing w:after="0"/>
            </w:pPr>
            <w:r>
              <w:rPr>
                <w:rFonts w:ascii="Arial" w:hAnsi="Arial"/>
                <w:b w:val="0"/>
                <w:i w:val="0"/>
                <w:color w:val="1B2A47"/>
                <w:sz w:val="17"/>
              </w:rPr>
              <w:t>925 Marina Commerce Way, Oakland, CA 94607</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ENTITY TYPE / STATE</w:t>
            </w:r>
          </w:p>
          <w:p>
            <w:pPr>
              <w:spacing w:after="0"/>
            </w:pPr>
            <w:r>
              <w:rPr>
                <w:rFonts w:ascii="Arial" w:hAnsi="Arial"/>
                <w:b w:val="0"/>
                <w:i w:val="0"/>
                <w:color w:val="1B2A47"/>
                <w:sz w:val="17"/>
              </w:rPr>
              <w:t>S corporation · California</w:t>
            </w:r>
          </w:p>
        </w:tc>
      </w:tr>
    </w:tbl>
    <w:p>
      <w:pPr>
        <w:spacing w:after="0"/>
      </w:pPr>
    </w:p>
    <w:tbl>
      <w:tblPr>
        <w:tblW w:type="dxa" w:w="10128"/>
        <w:jc w:val="left"/>
        <w:tblLayout w:type="fixed"/>
        <w:tblLook w:firstColumn="1" w:firstRow="1" w:lastColumn="0" w:lastRow="0" w:noHBand="0" w:noVBand="1" w:val="04A0"/>
        <w:tblInd w:type="dxa" w:w="105"/>
      </w:tblPr>
      <w:tblGrid>
        <w:gridCol w:w="3600"/>
        <w:gridCol w:w="3700"/>
        <w:gridCol w:w="2828"/>
      </w:tblGrid>
      <w:tr>
        <w:trPr/>
        <w:tc>
          <w:tcPr>
            <w:tcW w:type="dxa" w:w="36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CA SOS ENTITY NO.</w:t>
            </w:r>
          </w:p>
          <w:p>
            <w:pPr>
              <w:spacing w:after="0"/>
            </w:pPr>
            <w:r>
              <w:rPr>
                <w:rFonts w:ascii="Arial" w:hAnsi="Arial"/>
                <w:b w:val="0"/>
                <w:i w:val="0"/>
                <w:color w:val="1B2A47"/>
                <w:sz w:val="17"/>
              </w:rPr>
              <w:t>C3789104</w:t>
            </w:r>
          </w:p>
        </w:tc>
        <w:tc>
          <w:tcPr>
            <w:tcW w:type="dxa" w:w="37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CSLB LICENSE</w:t>
            </w:r>
          </w:p>
          <w:p>
            <w:pPr>
              <w:spacing w:after="0"/>
            </w:pPr>
            <w:r>
              <w:rPr>
                <w:rFonts w:ascii="Arial" w:hAnsi="Arial"/>
                <w:b w:val="0"/>
                <w:i w:val="0"/>
                <w:color w:val="1B2A47"/>
                <w:sz w:val="17"/>
              </w:rPr>
              <w:t>1023546 · Class B</w:t>
            </w:r>
          </w:p>
        </w:tc>
        <w:tc>
          <w:tcPr>
            <w:tcW w:type="dxa" w:w="28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YEAR ESTABLISHED</w:t>
            </w:r>
          </w:p>
          <w:p>
            <w:pPr>
              <w:spacing w:after="0"/>
            </w:pPr>
            <w:r>
              <w:rPr>
                <w:rFonts w:ascii="Arial" w:hAnsi="Arial"/>
                <w:b w:val="0"/>
                <w:i w:val="0"/>
                <w:color w:val="1B2A47"/>
                <w:sz w:val="17"/>
              </w:rPr>
              <w:t>2012</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PRINCIPAL / GUARANTOR</w:t>
            </w:r>
          </w:p>
          <w:p>
            <w:pPr>
              <w:spacing w:after="0"/>
            </w:pPr>
            <w:r>
              <w:rPr>
                <w:rFonts w:ascii="Arial" w:hAnsi="Arial"/>
                <w:b w:val="0"/>
                <w:i w:val="0"/>
                <w:color w:val="1B2A47"/>
                <w:sz w:val="17"/>
              </w:rPr>
              <w:t>Daniel K. Cho - President and 100% guarantor</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PHONE</w:t>
            </w:r>
          </w:p>
          <w:p>
            <w:pPr>
              <w:spacing w:after="0"/>
            </w:pPr>
            <w:r>
              <w:rPr>
                <w:rFonts w:ascii="Arial" w:hAnsi="Arial"/>
                <w:b w:val="0"/>
                <w:i w:val="0"/>
                <w:color w:val="1B2A47"/>
                <w:sz w:val="17"/>
              </w:rPr>
              <w:t>(916) 555-0184</w:t>
            </w:r>
          </w:p>
        </w:tc>
      </w:tr>
    </w:tbl>
    <w:p>
      <w:pPr>
        <w:spacing w:after="0"/>
      </w:pPr>
    </w:p>
    <w:p>
      <w:pPr>
        <w:keepNext/>
        <w:spacing w:before="100" w:after="20"/>
      </w:pPr>
      <w:r>
        <w:rPr>
          <w:rFonts w:ascii="Arial" w:hAnsi="Arial"/>
          <w:b w:val="0"/>
          <w:i w:val="0"/>
          <w:color w:val="1B2A47"/>
          <w:sz w:val="20"/>
        </w:rPr>
        <w:t>SECTION 2 — CREDIT REQUEST</w:t>
      </w:r>
    </w:p>
    <w:tbl>
      <w:tblPr>
        <w:tblW w:type="dxa" w:w="10128"/>
        <w:jc w:val="left"/>
        <w:tblLayout w:type="fixed"/>
        <w:tblLook w:firstColumn="1" w:firstRow="1" w:lastColumn="0" w:lastRow="0" w:noHBand="0" w:noVBand="1" w:val="04A0"/>
        <w:tblInd w:type="dxa" w:w="120"/>
      </w:tblPr>
      <w:tblGrid>
        <w:gridCol w:w="5000"/>
        <w:gridCol w:w="2400"/>
        <w:gridCol w:w="2728"/>
      </w:tblGrid>
      <w:tr>
        <w:trPr/>
        <w:tc>
          <w:tcPr>
            <w:tcW w:type="dxa" w:w="50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FACILITY</w:t>
            </w:r>
          </w:p>
        </w:tc>
        <w:tc>
          <w:tcPr>
            <w:tcW w:type="dxa" w:w="24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CURRENT</w:t>
            </w:r>
          </w:p>
        </w:tc>
        <w:tc>
          <w:tcPr>
            <w:tcW w:type="dxa" w:w="2728"/>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REQUESTED</w:t>
            </w:r>
          </w:p>
        </w:tc>
      </w:tr>
      <w:tr>
        <w:tc>
          <w:tcPr>
            <w:tcW w:type="dxa" w:w="5000"/>
            <w:tcMar>
              <w:top w:w="55" w:type="dxa"/>
              <w:start w:w="120" w:type="dxa"/>
              <w:bottom w:w="55" w:type="dxa"/>
              <w:end w:w="120" w:type="dxa"/>
            </w:tcMar>
            <w:tcBorders>
              <w:top w:val="nil"/>
              <w:bottom w:val="nil"/>
              <w:start w:val="single" w:sz="9" w:color="1B2A47"/>
              <w:end w:val="single" w:sz="9" w:color="1B2A47"/>
            </w:tcBorders>
          </w:tcPr>
          <w:p>
            <w:r>
              <w:rPr>
                <w:rFonts w:ascii="Arial" w:hAnsi="Arial"/>
                <w:b w:val="0"/>
                <w:i w:val="0"/>
                <w:color w:val="1B2A47"/>
                <w:sz w:val="16"/>
              </w:rPr>
              <w:t>Revolving line of credit — working capital</w:t>
            </w:r>
          </w:p>
        </w:tc>
        <w:tc>
          <w:tcPr>
            <w:tcW w:type="dxa" w:w="2400"/>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2,000,000</w:t>
            </w:r>
          </w:p>
        </w:tc>
        <w:tc>
          <w:tcPr>
            <w:tcW w:type="dxa" w:w="2728"/>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2,500,000</w:t>
            </w:r>
          </w:p>
        </w:tc>
      </w:tr>
      <w:tr>
        <w:tc>
          <w:tcPr>
            <w:tcW w:type="dxa" w:w="5000"/>
            <w:tcMar>
              <w:top w:w="55" w:type="dxa"/>
              <w:start w:w="120" w:type="dxa"/>
              <w:bottom w:w="55" w:type="dxa"/>
              <w:end w:w="120" w:type="dxa"/>
            </w:tcMar>
            <w:tcBorders>
              <w:top w:val="nil"/>
              <w:bottom w:val="single" w:sz="9" w:color="1B2A47"/>
              <w:start w:val="single" w:sz="9" w:color="1B2A47"/>
              <w:end w:val="single" w:sz="9" w:color="1B2A47"/>
            </w:tcBorders>
          </w:tcPr>
          <w:p>
            <w:r>
              <w:rPr>
                <w:rFonts w:ascii="Arial" w:hAnsi="Arial"/>
                <w:b w:val="0"/>
                <w:i w:val="0"/>
                <w:color w:val="1B2A47"/>
                <w:sz w:val="16"/>
              </w:rPr>
              <w:t>Equipment term notes — renewal of existing</w:t>
            </w:r>
          </w:p>
        </w:tc>
        <w:tc>
          <w:tcPr>
            <w:tcW w:type="dxa" w:w="2400"/>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1,450,000</w:t>
            </w:r>
          </w:p>
        </w:tc>
        <w:tc>
          <w:tcPr>
            <w:tcW w:type="dxa" w:w="2728"/>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renew</w:t>
            </w:r>
          </w:p>
        </w:tc>
      </w:tr>
    </w:tbl>
    <w:p>
      <w:pPr>
        <w:spacing w:after="80" w:line="269" w:lineRule="auto"/>
      </w:pPr>
      <w:r>
        <w:rPr>
          <w:rFonts w:ascii="Arial" w:hAnsi="Arial"/>
          <w:b w:val="0"/>
          <w:i w:val="0"/>
          <w:color w:val="5B6472"/>
          <w:sz w:val="14"/>
        </w:rPr>
        <w:t>Purpose: Working capital to support contract growth; carry receivables and materials on an expanding commercial project pipeline.</w:t>
        <w:br/>
        <w:t>Collateral offered: Blanket lien on business assets; personal guaranty of the principal.</w:t>
      </w:r>
    </w:p>
    <w:p>
      <w:pPr>
        <w:keepNext/>
        <w:spacing w:before="100" w:after="20"/>
      </w:pPr>
      <w:r>
        <w:rPr>
          <w:rFonts w:ascii="Arial" w:hAnsi="Arial"/>
          <w:b w:val="0"/>
          <w:i w:val="0"/>
          <w:color w:val="1B2A47"/>
          <w:sz w:val="20"/>
        </w:rPr>
        <w:t>SECTION 3 — BANKING RELATIONSHIP</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PRIMARY DEPOSITORY</w:t>
            </w:r>
          </w:p>
          <w:p>
            <w:pPr>
              <w:spacing w:after="0"/>
            </w:pPr>
            <w:r>
              <w:rPr>
                <w:rFonts w:ascii="Arial" w:hAnsi="Arial"/>
                <w:b w:val="0"/>
                <w:i w:val="0"/>
                <w:color w:val="1B2A47"/>
                <w:sz w:val="16"/>
              </w:rPr>
              <w:t>Golden State Commerce Bank, N.A. — operating &amp; payroll accounts</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RELATIONSHIP MANAGER</w:t>
            </w:r>
          </w:p>
          <w:p>
            <w:pPr>
              <w:spacing w:after="0"/>
            </w:pPr>
            <w:r>
              <w:rPr>
                <w:rFonts w:ascii="Arial" w:hAnsi="Arial"/>
                <w:b w:val="0"/>
                <w:i w:val="0"/>
                <w:color w:val="1B2A47"/>
                <w:sz w:val="16"/>
              </w:rPr>
              <w:t>P. Raman, VP</w:t>
            </w:r>
          </w:p>
        </w:tc>
      </w:tr>
    </w:tbl>
    <w:p>
      <w:pPr>
        <w:spacing w:after="0"/>
      </w:pPr>
    </w:p>
    <w:p>
      <w:pPr>
        <w:spacing w:after="0" w:line="269" w:lineRule="auto"/>
      </w:pPr>
      <w:r>
        <w:rPr>
          <w:rFonts w:ascii="Arial" w:hAnsi="Arial"/>
          <w:b w:val="0"/>
          <w:i w:val="0"/>
          <w:color w:val="5B6472"/>
          <w:sz w:val="14"/>
        </w:rPr>
        <w:t>Applicant certifies the information provided in this application and the attached financial statements and tax returns is true and complete. (Specimen — unsigned.)</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2 — Business profile</w:t>
            </w:r>
          </w:p>
        </w:tc>
      </w:tr>
    </w:tbl>
    <w:p>
      <w:pPr>
        <w:spacing w:after="40"/>
      </w:pPr>
    </w:p>
    <w:p>
      <w:pPr>
        <w:keepNext/>
        <w:spacing w:before="100" w:after="20"/>
      </w:pPr>
      <w:r>
        <w:rPr>
          <w:rFonts w:ascii="Arial" w:hAnsi="Arial"/>
          <w:b w:val="0"/>
          <w:i w:val="0"/>
          <w:color w:val="1B2A47"/>
          <w:sz w:val="20"/>
        </w:rPr>
        <w:t>SECTION 4 — BUSINESS PROFILE</w:t>
      </w: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INDUSTRY / NAICS</w:t>
            </w:r>
          </w:p>
          <w:p>
            <w:pPr>
              <w:spacing w:after="0"/>
            </w:pPr>
            <w:r>
              <w:rPr>
                <w:rFonts w:ascii="Arial" w:hAnsi="Arial"/>
                <w:b w:val="0"/>
                <w:i w:val="0"/>
                <w:color w:val="1B2A47"/>
                <w:sz w:val="16"/>
              </w:rPr>
              <w:t>236220 — Commercial building construction</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FULL-TIME EMPLOYEES</w:t>
            </w:r>
          </w:p>
          <w:p>
            <w:pPr>
              <w:spacing w:after="0"/>
            </w:pPr>
            <w:r>
              <w:rPr>
                <w:rFonts w:ascii="Arial" w:hAnsi="Arial"/>
                <w:b w:val="0"/>
                <w:i w:val="0"/>
                <w:color w:val="1B2A47"/>
                <w:sz w:val="16"/>
              </w:rPr>
              <w:t>78</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EMPLOYEES — PRIOR YEAR (2024)</w:t>
            </w:r>
          </w:p>
          <w:p>
            <w:pPr>
              <w:spacing w:after="0"/>
            </w:pPr>
            <w:r>
              <w:rPr>
                <w:rFonts w:ascii="Arial" w:hAnsi="Arial"/>
                <w:b w:val="0"/>
                <w:i w:val="0"/>
                <w:color w:val="1B2A47"/>
                <w:sz w:val="16"/>
              </w:rPr>
              <w:t>72</w:t>
            </w:r>
          </w:p>
        </w:tc>
      </w:tr>
    </w:tbl>
    <w:p>
      <w:pPr>
        <w:spacing w:after="0"/>
      </w:pP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REVENUE (PER FINANCIALS)</w:t>
            </w:r>
          </w:p>
          <w:p>
            <w:pPr>
              <w:spacing w:after="0"/>
            </w:pPr>
            <w:r>
              <w:rPr>
                <w:rFonts w:ascii="Arial" w:hAnsi="Arial"/>
                <w:b w:val="0"/>
                <w:i w:val="0"/>
                <w:color w:val="1B2A47"/>
                <w:sz w:val="16"/>
              </w:rPr>
              <w:t>$33,000,000</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NET INCOME</w:t>
            </w:r>
          </w:p>
          <w:p>
            <w:pPr>
              <w:spacing w:after="0"/>
            </w:pPr>
            <w:r>
              <w:rPr>
                <w:rFonts w:ascii="Arial" w:hAnsi="Arial"/>
                <w:b w:val="0"/>
                <w:i w:val="0"/>
                <w:color w:val="1B2A47"/>
                <w:sz w:val="16"/>
              </w:rPr>
              <w:t>$2,400,000</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BACKLOG (MGMT EST.)</w:t>
            </w:r>
          </w:p>
          <w:p>
            <w:pPr>
              <w:spacing w:after="0"/>
            </w:pPr>
            <w:r>
              <w:rPr>
                <w:rFonts w:ascii="Arial" w:hAnsi="Arial"/>
                <w:b w:val="0"/>
                <w:i w:val="0"/>
                <w:color w:val="1B2A47"/>
                <w:sz w:val="16"/>
              </w:rPr>
              <w:t>$18,282,000</w:t>
            </w:r>
          </w:p>
        </w:tc>
      </w:tr>
    </w:tbl>
    <w:p>
      <w:pPr>
        <w:spacing w:after="0"/>
      </w:pPr>
    </w:p>
    <w:p>
      <w:pPr>
        <w:keepNext/>
        <w:spacing w:before="100" w:after="40"/>
      </w:pPr>
      <w:r>
        <w:rPr>
          <w:rFonts w:ascii="Arial" w:hAnsi="Arial"/>
          <w:b w:val="0"/>
          <w:i w:val="0"/>
          <w:color w:val="1B2A47"/>
          <w:sz w:val="18"/>
        </w:rPr>
        <w:t>Customer base (management description)</w:t>
      </w:r>
    </w:p>
    <w:p>
      <w:pPr>
        <w:spacing w:after="100" w:line="269" w:lineRule="auto"/>
      </w:pPr>
      <w:r>
        <w:rPr>
          <w:rFonts w:ascii="Georgia" w:hAnsi="Georgia"/>
          <w:b w:val="0"/>
          <w:i w:val="0"/>
          <w:color w:val="1B2A47"/>
          <w:sz w:val="17"/>
        </w:rPr>
        <w:t>The Company serves commercial developers, owners, and institutional clients across its California market. The customer base is well diversified across active accounts, and concentration is actively managed in line with the expectations noted in the Bank's prior annual review. Notable current work includes the Bayfront Medical Group program and several negotiated commercial projects.</w:t>
      </w:r>
    </w:p>
    <w:p>
      <w:pPr>
        <w:keepNext/>
        <w:spacing w:before="100" w:after="40"/>
      </w:pPr>
      <w:r>
        <w:rPr>
          <w:rFonts w:ascii="Arial" w:hAnsi="Arial"/>
          <w:b w:val="0"/>
          <w:i w:val="0"/>
          <w:color w:val="1B2A47"/>
          <w:sz w:val="18"/>
        </w:rPr>
        <w:t>Workforce and operations</w:t>
      </w:r>
    </w:p>
    <w:p>
      <w:pPr>
        <w:spacing w:after="100" w:line="269" w:lineRule="auto"/>
      </w:pPr>
      <w:r>
        <w:rPr>
          <w:rFonts w:ascii="Georgia" w:hAnsi="Georgia"/>
          <w:b w:val="0"/>
          <w:i w:val="0"/>
          <w:color w:val="1B2A47"/>
          <w:sz w:val="17"/>
        </w:rPr>
        <w:t>Management reports 78 full-time employees compared with 72 in the prior year. Specialty subcontractors supplement field operations, and materials for fixed-price contracts are procured ahead of need where advantageous.</w:t>
      </w:r>
    </w:p>
    <w:p>
      <w:pPr>
        <w:keepNext/>
        <w:spacing w:before="100" w:after="40"/>
      </w:pPr>
      <w:r>
        <w:rPr>
          <w:rFonts w:ascii="Arial" w:hAnsi="Arial"/>
          <w:b w:val="0"/>
          <w:i w:val="0"/>
          <w:color w:val="1B2A47"/>
          <w:sz w:val="18"/>
        </w:rPr>
        <w:t>Insurance and bonding</w:t>
      </w:r>
    </w:p>
    <w:p>
      <w:pPr>
        <w:spacing w:after="100" w:line="269" w:lineRule="auto"/>
      </w:pPr>
      <w:r>
        <w:rPr>
          <w:rFonts w:ascii="Georgia" w:hAnsi="Georgia"/>
          <w:b w:val="0"/>
          <w:i w:val="0"/>
          <w:color w:val="1B2A47"/>
          <w:sz w:val="17"/>
        </w:rPr>
        <w:t>GL $2M/$4M; auto $1M; umbrella $5M. Surety program with aggregate capacity through a national surety; supporting letter available on request.</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3 — Management discussion &amp; certification</w:t>
            </w:r>
          </w:p>
        </w:tc>
      </w:tr>
    </w:tbl>
    <w:p>
      <w:pPr>
        <w:spacing w:after="40"/>
      </w:pPr>
    </w:p>
    <w:p>
      <w:pPr>
        <w:keepNext/>
        <w:spacing w:before="100" w:after="80"/>
      </w:pPr>
      <w:r>
        <w:rPr>
          <w:rFonts w:ascii="Arial" w:hAnsi="Arial"/>
          <w:b w:val="0"/>
          <w:i w:val="0"/>
          <w:color w:val="1B2A47"/>
          <w:sz w:val="20"/>
        </w:rPr>
        <w:t>SECTION 5 — MANAGEMENT DISCUSSION (prepared by applicant)</w:t>
      </w:r>
    </w:p>
    <w:p>
      <w:pPr>
        <w:spacing w:after="100" w:line="269" w:lineRule="auto"/>
      </w:pPr>
      <w:r>
        <w:rPr>
          <w:rFonts w:ascii="Georgia" w:hAnsi="Georgia"/>
          <w:b w:val="0"/>
          <w:i w:val="0"/>
          <w:color w:val="1B2A47"/>
          <w:sz w:val="17"/>
        </w:rPr>
        <w:t>Fiscal 2025 revenue was $33.0M and net income was $2.4M. To date, this growth has been funded through operating cash flow and retained earnings; the requested increase primarily provides headroom to carry receivables on a larger volume of work.</w:t>
      </w:r>
    </w:p>
    <w:p>
      <w:pPr>
        <w:spacing w:after="100" w:line="269" w:lineRule="auto"/>
      </w:pPr>
      <w:r>
        <w:rPr>
          <w:rFonts w:ascii="Georgia" w:hAnsi="Georgia"/>
          <w:b w:val="0"/>
          <w:i w:val="0"/>
          <w:color w:val="1B2A47"/>
          <w:sz w:val="17"/>
        </w:rPr>
        <w:t>The pipeline remains strong, anchored by work for Bayfront Medical Group. Liquidity remains sound, and the Company has not missed a payroll or debt payment in its operating history.</w:t>
      </w:r>
    </w:p>
    <w:p>
      <w:pPr>
        <w:keepNext/>
        <w:spacing w:before="100" w:after="80"/>
      </w:pPr>
      <w:r>
        <w:rPr>
          <w:rFonts w:ascii="Arial" w:hAnsi="Arial"/>
          <w:b w:val="0"/>
          <w:i w:val="0"/>
          <w:color w:val="1B2A47"/>
          <w:sz w:val="20"/>
        </w:rPr>
        <w:t>SECTION 6 — CERTIFICATION</w:t>
      </w:r>
    </w:p>
    <w:p>
      <w:pPr>
        <w:spacing w:after="100" w:line="269" w:lineRule="auto"/>
      </w:pPr>
      <w:r>
        <w:rPr>
          <w:rFonts w:ascii="Arial" w:hAnsi="Arial"/>
          <w:b w:val="0"/>
          <w:i w:val="0"/>
          <w:color w:val="5B6472"/>
          <w:sz w:val="16"/>
        </w:rPr>
        <w:t>The undersigned certifies that the statements herein and the accompanying documents (FY2025 financial statements, 2025 federal income tax return, and current Statement of Information) are true, correct, and complete, and authorizes the Bank to verify any information provided, including with the California Secretary of State, the Contractors State License Board, and credit bureaus.</w:t>
      </w:r>
    </w:p>
    <w:tbl>
      <w:tblPr>
        <w:tblW w:type="dxa" w:w="10128"/>
        <w:jc w:val="left"/>
        <w:tblLayout w:type="fixed"/>
        <w:tblLook w:firstColumn="1" w:firstRow="1" w:lastColumn="0" w:lastRow="0" w:noHBand="0" w:noVBand="1" w:val="04A0"/>
        <w:tblInd w:type="dxa" w:w="40"/>
      </w:tblPr>
      <w:tblGrid>
        <w:gridCol w:w="5050"/>
        <w:gridCol w:w="5078"/>
      </w:tblGrid>
      <w:tr>
        <w:trPr/>
        <w:tc>
          <w:tcPr>
            <w:tcW w:type="dxa" w:w="5050"/>
            <w:tcMar>
              <w:top w:w="300" w:type="dxa"/>
              <w:bottom w:w="0" w:type="dxa"/>
              <w:start w:w="40" w:type="dxa"/>
              <w:end w:w="40" w:type="dxa"/>
            </w:tcMar>
            <w:tcBorders>
              <w:top w:val="nil"/>
              <w:bottom w:val="single" w:sz="8" w:color="1B2A47"/>
              <w:start w:val="nil"/>
              <w:end w:val="nil"/>
            </w:tcBorders>
          </w:tcPr>
          <w:p/>
        </w:tc>
        <w:tc>
          <w:tcPr>
            <w:tcW w:type="dxa" w:w="5078"/>
            <w:tcMar>
              <w:top w:w="300" w:type="dxa"/>
              <w:bottom w:w="0" w:type="dxa"/>
              <w:start w:w="40" w:type="dxa"/>
              <w:end w:w="40" w:type="dxa"/>
            </w:tcMar>
            <w:tcBorders>
              <w:top w:val="nil"/>
              <w:bottom w:val="single" w:sz="8" w:color="1B2A47"/>
              <w:start w:val="nil"/>
              <w:end w:val="nil"/>
            </w:tcBorders>
          </w:tcPr>
          <w:p/>
        </w:tc>
      </w:tr>
      <w:tr>
        <w:trPr/>
        <w:tc>
          <w:tcPr>
            <w:tcW w:type="dxa" w:w="5050"/>
            <w:tcMar>
              <w:top w:w="40" w:type="dxa"/>
              <w:bottom w:w="0" w:type="dxa"/>
              <w:start w:w="40" w:type="dxa"/>
              <w:end w:w="40" w:type="dxa"/>
            </w:tcMar>
            <w:tcBorders>
              <w:top w:val="nil"/>
              <w:bottom w:val="nil"/>
              <w:start w:val="nil"/>
              <w:end w:val="nil"/>
            </w:tcBorders>
          </w:tcPr>
          <w:p>
            <w:r>
              <w:rPr>
                <w:rFonts w:ascii="Arial" w:hAnsi="Arial"/>
                <w:b w:val="0"/>
                <w:i w:val="0"/>
                <w:color w:val="5B6472"/>
                <w:sz w:val="14"/>
              </w:rPr>
              <w:t>Daniel K. Cho, President &amp; CEO (specimen — unsigned)</w:t>
            </w:r>
          </w:p>
        </w:tc>
        <w:tc>
          <w:tcPr>
            <w:tcW w:type="dxa" w:w="5078"/>
            <w:tcMar>
              <w:top w:w="40" w:type="dxa"/>
              <w:bottom w:w="0" w:type="dxa"/>
              <w:start w:w="40" w:type="dxa"/>
              <w:end w:w="40" w:type="dxa"/>
            </w:tcMar>
            <w:tcBorders>
              <w:top w:val="nil"/>
              <w:bottom w:val="nil"/>
              <w:start w:val="nil"/>
              <w:end w:val="nil"/>
            </w:tcBorders>
          </w:tcPr>
          <w:p>
            <w:r>
              <w:rPr>
                <w:rFonts w:ascii="Arial" w:hAnsi="Arial"/>
                <w:b w:val="0"/>
                <w:i w:val="0"/>
                <w:color w:val="5B6472"/>
                <w:sz w:val="14"/>
              </w:rPr>
              <w:t>Date: July 21, 2026</w:t>
            </w:r>
          </w:p>
        </w:tc>
      </w:tr>
    </w:tbl>
    <w:tbl>
      <w:tblPr>
        <w:tblW w:type="dxa" w:w="10128"/>
        <w:jc w:val="left"/>
        <w:tblLayout w:type="fixed"/>
        <w:tblLook w:firstColumn="1" w:firstRow="1" w:lastColumn="0" w:lastRow="0" w:noHBand="0" w:noVBand="1" w:val="04A0"/>
        <w:tblInd w:type="dxa" w:w="120"/>
      </w:tblPr>
      <w:tblGrid>
        <w:gridCol w:w="4200"/>
        <w:gridCol w:w="5928"/>
      </w:tblGrid>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Legal business name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Blue Harbor Builders, Inc.</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Entity type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S corporation - California</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Business street address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925 Marina Commerce Way, Oakland, CA 94607</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Industry / NAICS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236220 - Commercial building construction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Principal / guarantor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Daniel K. Cho - President and 100% guarantor</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California entity number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C3789104</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Beneficial ownership certification</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Daniel K. Cho - 100% ownership; control person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Full-time employees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78 (2024): 72</w:t>
            </w:r>
          </w:p>
        </w:tc>
      </w:tr>
    </w:tbl>
    <w:sectPr w:rsidR="00FC693F" w:rsidRPr="0006063C" w:rsidSect="00034616">
      <w:headerReference w:type="default" r:id="rId9"/>
      <w:footerReference w:type="default" r:id="rId10"/>
      <w:pgSz w:w="12240" w:h="15840"/>
      <w:pgMar w:top="1080" w:right="1080" w:bottom="979" w:left="1080"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10080"/>
      <w:jc w:val="left"/>
      <w:tblLayout w:type="fixed"/>
      <w:tblLook w:firstColumn="1" w:firstRow="1" w:lastColumn="0" w:lastRow="0" w:noHBand="0" w:noVBand="1" w:val="04A0"/>
      <w:tblInd w:type="dxa" w:w="0"/>
    </w:tblPr>
    <w:tblGrid>
      <w:gridCol w:w="5040"/>
      <w:gridCol w:w="5040"/>
    </w:tblGrid>
    <w:tr>
      <w:trPr/>
      <w:tc>
        <w:tcPr>
          <w:tcW w:type="dxa" w:w="5040"/>
          <w:tcMar>
            <w:top w:w="65" w:type="dxa"/>
            <w:bottom w:w="0" w:type="dxa"/>
            <w:start w:w="0" w:type="dxa"/>
            <w:end w:w="0" w:type="dxa"/>
          </w:tcMar>
          <w:tcBorders>
            <w:top w:val="single" w:sz="5" w:color="CFC7B4"/>
            <w:bottom w:val="nil"/>
            <w:start w:val="nil"/>
            <w:end w:val="nil"/>
          </w:tcBorders>
        </w:tcPr>
        <w:p>
          <w:pPr>
            <w:spacing w:after="0"/>
          </w:pPr>
          <w:r>
            <w:rPr>
              <w:rFonts w:ascii="Arial" w:hAnsi="Arial"/>
              <w:b w:val="0"/>
              <w:i w:val="0"/>
              <w:color w:val="5B6472"/>
              <w:sz w:val="13"/>
            </w:rPr>
            <w:t>SPECIMEN · Fictional data prepared for product demonstration</w:t>
          </w:r>
        </w:p>
      </w:tc>
      <w:tc>
        <w:tcPr>
          <w:tcW w:type="dxa" w:w="5040"/>
          <w:tcMar>
            <w:top w:w="65" w:type="dxa"/>
            <w:bottom w:w="0" w:type="dxa"/>
            <w:start w:w="0" w:type="dxa"/>
            <w:end w:w="0" w:type="dxa"/>
          </w:tcMar>
          <w:tcBorders>
            <w:top w:val="single" w:sz="5" w:color="CFC7B4"/>
            <w:bottom w:val="nil"/>
            <w:start w:val="nil"/>
            <w:end w:val="nil"/>
          </w:tcBorders>
        </w:tcPr>
        <w:p>
          <w:pPr>
            <w:spacing w:after="0"/>
            <w:jc w:val="right"/>
          </w:pPr>
          <w:r>
            <w:rPr>
              <w:rFonts w:ascii="Arial" w:hAnsi="Arial"/>
              <w:b w:val="0"/>
              <w:i w:val="0"/>
              <w:color w:val="5B6472"/>
              <w:sz w:val="13"/>
            </w:rPr>
            <w:t xml:space="preserve">Golden State Commerce Bank, N.A. — Commercial Credit Application · Page </w:t>
          </w:r>
          <w:r>
            <w:rPr>
              <w:rFonts w:ascii="Arial" w:hAnsi="Arial"/>
              <w:b w:val="0"/>
              <w:i w:val="0"/>
              <w:color w:val="5B6472"/>
              <w:sz w:val="13"/>
            </w:rPr>
            <w:fldChar w:fldCharType="begin"/>
            <w:instrText xml:space="preserve">PAGE</w:instrText>
            <w:fldChar w:fldCharType="separate"/>
            <w:t>1</w:t>
            <w:fldChar w:fldCharType="end"/>
          </w:r>
          <w:r>
            <w:rPr>
              <w:rFonts w:ascii="Arial" w:hAnsi="Arial"/>
              <w:b w:val="0"/>
              <w:i w:val="0"/>
              <w:color w:val="5B6472"/>
              <w:sz w:val="13"/>
            </w:rPr>
            <w:t xml:space="preserve"> of </w:t>
          </w:r>
          <w:r>
            <w:rPr>
              <w:rFonts w:ascii="Arial" w:hAnsi="Arial"/>
              <w:b w:val="0"/>
              <w:i w:val="0"/>
              <w:color w:val="5B6472"/>
              <w:sz w:val="13"/>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1B2A4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7"/>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B2A4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Loan Application</dc:title>
  <dc:subject>Sigma parser fixture: 03_clean_approve</dc:subject>
  <dc:creator>Sigma Fictional Test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