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Memo date: March 18, 2025</w:t>
            </w:r>
          </w:p>
        </w:tc>
      </w:tr>
    </w:tbl>
    <w:p>
      <w:pPr>
        <w:spacing w:after="4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7528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BORROWER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Mission Coast Civil Works, Inc.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FACILITIES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$2.5M revolving LOC (Prime + 0.75%) · equipment term notes $1.8M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RISK RATING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4 - Satisfactory  (unchanged)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GUARANTY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Amelia R. Park - President and 100% guarantor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ACTION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Approve annual renewal of $2.5M revolving line of credit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ANALYST / APPROVER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A. Chen, Credit Analyst · R. Delgado, SVP Senior Credit Officer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1. RELATIONSHIP OVERVIEW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Mission Coast Civil Works, Inc. is a California commercial contractor and a Bank client since 2019. FY2024 revenue was $38.5M and net income $2.8M. The operating account and payroll relationship remain at the Bank; average collected balances approximated $640M-thousand. Line usage was orderly with a clean 30-day annual rest achieved during the review period.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2. MANAGEMENT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Amelia R. Park, President and controlling shareholder, leads the Company. Management is regarded as capable, with estimating discipline noted as an area to monitor following the FY2024 margin result.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2 — Financial summary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3. FINANCIAL SUMMARY — FYE 12/31/2024 (company-prepared)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650"/>
        <w:gridCol w:w="3478"/>
      </w:tblGrid>
      <w:tr>
        <w:trPr>
          <w:tblHeader w:val="true"/>
        </w:trPr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Revenue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$38,500,000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Gross profit / margin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$6,300,000 · 16.4%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EBITDA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$3,900,000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Net income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$2,750,000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Total interest-bearing debt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$2,850,000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Stockholder's equity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$14,025,000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Contract receivables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$5,200,000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Distributions to stockholder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$378,000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4. RECEIVABLES AND CUSTOMER BASE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Receivable quality is acceptable and primarily within contractual terms. The largest customer represented $988,000, or 19% of receivables, at December 31, 2024. Management represents that the pipeline is broader-based and expects to diversify the top account during FY2025. Concentration is designated a monitoring item for the next review.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5. FACILITY PERFORMANCE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$2.5M revolver · average utilization approximately 31% · clean 30-day rest. All payments current; borrowing-base certificates are required at elevated utilization.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3 — Risk factors, monitoring, approval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6. RISK FACTORS AND MONITORING ITEMS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Customer concentration (MONITORING ITEM)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Top account at 19% of receivables; management expects diversification during FY2025. Re-examine at the next annual review using a customer-level receivables schedule.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Estimating discipline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FY2024 gross margin of 16.4% reflected project mix and estimating pressure. Monitor original-versus-current margin on the FY2025 WIP.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Cyclicality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Commercial construction exposure to the California development cycle; mitigated by operating history and guarantor support.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7. CONDITIONS OF RENEWAL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Annual company-prepared financial statements and federal tax returns within 120 days of fiscal year end; personal financial statement of guarantor annually; customer-level receivables schedule at the FY2025 review; 30-day annual line rest.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8. APPROVAL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Renewal of the $2.5M revolving line of credit is approved at risk rating 4 - Satisfactory. (Specimen — signatures on file.)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40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  <w:tc>
          <w:tcPr>
            <w:tcW w:type="dxa" w:w="5078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</w:tr>
      <w:tr>
        <w:trPr/>
        <w:tc>
          <w:tcPr>
            <w:tcW w:type="dxa" w:w="5050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A. Chen — Credit Analyst</w:t>
            </w:r>
          </w:p>
        </w:tc>
        <w:tc>
          <w:tcPr>
            <w:tcW w:type="dxa" w:w="5078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R. Delgado — SVP, Senior Credit Officer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CDD review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HOLD - beneficial-owner certification conflicts with prior CDD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Golden State Commerce Bank, N.A. — Internal Credit Memorandum (FY2024 annual review)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Prior Credit Memo</dc:title>
  <dc:subject>Sigma parser fixture: 05_compliance_hold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