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spacing w:after="280"/>
        <w:jc w:val="center"/>
      </w:pPr>
      <w:r>
        <w:rPr>
          <w:rFonts w:ascii="Georgia" w:hAnsi="Georgia"/>
          <w:b w:val="0"/>
          <w:i w:val="0"/>
          <w:color w:val="1B2A47"/>
          <w:sz w:val="33"/>
        </w:rPr>
        <w:t>DELTA ORCHARD CONSTRUCTION, INC.</w:t>
      </w:r>
    </w:p>
    <w:p>
      <w:pPr>
        <w:spacing w:after="80"/>
        <w:jc w:val="center"/>
      </w:pPr>
      <w:r>
        <w:rPr>
          <w:rFonts w:ascii="Georgia" w:hAnsi="Georgia"/>
          <w:b w:val="0"/>
          <w:i w:val="0"/>
          <w:color w:val="1B2A47"/>
          <w:sz w:val="23"/>
        </w:rPr>
        <w:t>FINANCIAL STATEMENTS</w:t>
      </w:r>
    </w:p>
    <w:p>
      <w:pPr>
        <w:spacing w:after="80"/>
        <w:jc w:val="center"/>
      </w:pPr>
      <w:r>
        <w:rPr>
          <w:rFonts w:ascii="Georgia" w:hAnsi="Georgia"/>
          <w:b w:val="0"/>
          <w:i w:val="0"/>
          <w:color w:val="1B2A47"/>
          <w:sz w:val="20"/>
        </w:rPr>
        <w:t>Years Ended December 31, 2025 and 2024</w:t>
      </w:r>
    </w:p>
    <w:p>
      <w:pPr>
        <w:spacing w:before="280"/>
        <w:jc w:val="center"/>
      </w:pPr>
      <w:r>
        <w:rPr>
          <w:rFonts w:ascii="Georgia" w:hAnsi="Georgia"/>
          <w:b w:val="0"/>
          <w:i w:val="0"/>
          <w:color w:val="5B6472"/>
          <w:sz w:val="16"/>
        </w:rPr>
        <w:t>Company-prepared · Not audited, reviewed, or compiled by an independent accountant</w:t>
      </w:r>
    </w:p>
    <w:p/>
    <w:p/>
    <w:p/>
    <w:p/>
    <w:p/>
    <w:p>
      <w:pPr>
        <w:spacing w:after="80"/>
        <w:jc w:val="center"/>
      </w:pPr>
      <w:r>
        <w:rPr>
          <w:rFonts w:ascii="Georgia" w:hAnsi="Georgia"/>
          <w:b w:val="0"/>
          <w:i w:val="0"/>
          <w:color w:val="1B2A47"/>
          <w:sz w:val="16"/>
        </w:rPr>
        <w:t>Prepared by management · Issued February 19, 2026</w:t>
      </w:r>
    </w:p>
    <w:p>
      <w:pPr>
        <w:spacing w:after="80"/>
        <w:jc w:val="center"/>
      </w:pPr>
      <w:r>
        <w:rPr>
          <w:rFonts w:ascii="Georgia" w:hAnsi="Georgia"/>
          <w:b w:val="0"/>
          <w:i w:val="0"/>
          <w:color w:val="1B2A47"/>
          <w:sz w:val="16"/>
        </w:rPr>
        <w:t>3300 Ming Avenue, Suite 230, Bakersfield, CA 93309</w:t>
      </w:r>
    </w:p>
    <w:p/>
    <w:p/>
    <w:p/>
    <w:p/>
    <w:p/>
    <w:p/>
    <w:p>
      <w:pPr>
        <w:jc w:val="center"/>
      </w:pPr>
      <w:r>
        <w:rPr>
          <w:rFonts w:ascii="Georgia" w:hAnsi="Georgia"/>
          <w:b w:val="0"/>
          <w:i w:val="0"/>
          <w:color w:val="5B6472"/>
          <w:sz w:val="14"/>
        </w:rPr>
        <w:t>Contents: Balance Sheets (2) · Statements of Operations (3) · Statement of Cash Flows (4)</w:t>
        <w:br/>
        <w:t>Notes to Financial Statements (5–7) · Supplementary Schedules I–II (8–9)</w:t>
      </w:r>
    </w:p>
    <w:p>
      <w:r>
        <w:br w:type="page"/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2"/>
        </w:rPr>
        <w:t>DELTA ORCHARD CONSTRUCTION, INC.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1"/>
        </w:rPr>
        <w:t>BALANCE SHEETS</w:t>
      </w:r>
    </w:p>
    <w:p>
      <w:pPr>
        <w:spacing w:after="140"/>
        <w:jc w:val="center"/>
      </w:pPr>
      <w:r>
        <w:rPr>
          <w:rFonts w:ascii="Georgia" w:hAnsi="Georgia"/>
          <w:b w:val="0"/>
          <w:i w:val="0"/>
          <w:color w:val="1B2A47"/>
          <w:sz w:val="17"/>
        </w:rPr>
        <w:t>December 31, 2025 and 2024 · (whole US dollars)</w:t>
      </w:r>
    </w:p>
    <w:p>
      <w:pPr>
        <w:spacing w:after="120"/>
        <w:pBdr>
          <w:bottom w:val="single" w:sz="6" w:color="CFC7B4"/>
        </w:pBdr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100"/>
        <w:gridCol w:w="2014"/>
        <w:gridCol w:w="2014"/>
      </w:tblGrid>
      <w:tr>
        <w:trPr>
          <w:tblHeader w:val="true"/>
        </w:trPr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ASSETS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2024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Cash and cash equivalents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780,000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720,000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Contract receivables, net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2,650,000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2,450,000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Costs and estimated earnings in excess of billings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555,000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233,100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Materials inventory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420,000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390,000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Prepaid expenses and other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148,000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103,200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Total current assets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4,553,000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3,896,300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Property and equipment, net of accumulated depreciation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1,424,500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1,453,400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Deposits and other assets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140,000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140,000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TOTAL ASSETS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6,117,500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5,489,700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100"/>
        <w:gridCol w:w="2014"/>
        <w:gridCol w:w="2014"/>
      </w:tblGrid>
      <w:tr>
        <w:trPr>
          <w:tblHeader w:val="true"/>
        </w:trPr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LIABILITIES AND STOCKHOLDER'S EQUITY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2024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Revolving line of credit (Note 5)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620,000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580,000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Current portion of long-term debt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150,000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120,000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Accounts payable — trade and subcontractors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1,488,860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1,393,080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Billings in excess of costs and estimated earnings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259,000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490,200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Accrued payroll and other liabilities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220,000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533,200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Total current liabilities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2,737,860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3,116,480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Long-term debt, less current portion (Note 5)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580,000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580,000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Total liabilities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3,317,860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3,696,480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Stockholder's equity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2,799,640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1,793,220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TOTAL LIABILITIES AND STOCKHOLDER'S EQUITY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6,117,500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5,489,700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5B6472"/>
          <w:sz w:val="15"/>
        </w:rPr>
        <w:t>Memo: total interest-bearing debt — 2025: $1,350,000  ·  2024: $1,280,000  (+5%)</w:t>
        <w:br/>
        <w:t>See notes to financial statements.</w:t>
      </w:r>
    </w:p>
    <w:p>
      <w:r>
        <w:br w:type="page"/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2"/>
        </w:rPr>
        <w:t>DELTA ORCHARD CONSTRUCTION, INC.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1"/>
        </w:rPr>
        <w:t>STATEMENTS OF OPERATIONS</w:t>
      </w:r>
    </w:p>
    <w:p>
      <w:pPr>
        <w:spacing w:after="140"/>
        <w:jc w:val="center"/>
      </w:pPr>
      <w:r>
        <w:rPr>
          <w:rFonts w:ascii="Georgia" w:hAnsi="Georgia"/>
          <w:b w:val="0"/>
          <w:i w:val="0"/>
          <w:color w:val="1B2A47"/>
          <w:sz w:val="17"/>
        </w:rPr>
        <w:t>Years Ended December 31, 2025 and 2024 · (whole US dollars)</w:t>
      </w:r>
    </w:p>
    <w:p>
      <w:pPr>
        <w:spacing w:after="120"/>
        <w:pBdr>
          <w:bottom w:val="single" w:sz="6" w:color="CFC7B4"/>
        </w:pBdr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100"/>
        <w:gridCol w:w="2014"/>
        <w:gridCol w:w="2014"/>
      </w:tblGrid>
      <w:tr>
        <w:trPr>
          <w:tblHeader w:val="true"/>
        </w:trPr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2024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Contract revenues earned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18,500,000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17,200,000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Materials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6,447,700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5,372,100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Direct labor and burden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5,300,000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4,950,000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Subcontractors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4,137,400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3,482,700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Equipment and other job costs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(785,100)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295,200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Total cost of contract revenues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15,100,000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14,100,000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Gross profit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3,400,000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3,100,000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Officer's compensation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472,800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491,504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Office salaries and benefits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689,500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718,352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Other general and administrative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807,700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680,544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Total general and administrative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1,970,000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1,890,400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Income from operations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1,430,000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1,209,600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Interest expense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(160,000)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(89,600)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Income before state taxes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1,270,000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1,120,000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State franchise taxes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(20,000)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(20,000)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NET INCOME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1,250,000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1,100,000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5B6472"/>
          <w:sz w:val="15"/>
        </w:rPr>
        <w:t>Cost of revenues and G&amp;A include depreciation and amortization of $300,000 (2025) and $273,000 (2024).</w:t>
      </w:r>
    </w:p>
    <w:p>
      <w:r>
        <w:br w:type="page"/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2"/>
        </w:rPr>
        <w:t>DELTA ORCHARD CONSTRUCTION, INC.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1"/>
        </w:rPr>
        <w:t>STATEMENT OF CASH FLOWS</w:t>
      </w:r>
    </w:p>
    <w:p>
      <w:pPr>
        <w:spacing w:after="140"/>
        <w:jc w:val="center"/>
      </w:pPr>
      <w:r>
        <w:rPr>
          <w:rFonts w:ascii="Georgia" w:hAnsi="Georgia"/>
          <w:b w:val="0"/>
          <w:i w:val="0"/>
          <w:color w:val="1B2A47"/>
          <w:sz w:val="17"/>
        </w:rPr>
        <w:t>Year Ended December 31, 2025 · (whole US dollars)</w:t>
      </w:r>
    </w:p>
    <w:p>
      <w:pPr>
        <w:spacing w:after="120"/>
        <w:pBdr>
          <w:bottom w:val="single" w:sz="6" w:color="CFC7B4"/>
        </w:pBdr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00"/>
        <w:gridCol w:w="2228"/>
      </w:tblGrid>
      <w:tr>
        <w:trPr>
          <w:tblHeader w:val="true"/>
        </w:trPr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Cash flows from operating activities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Net income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1,250,000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Depreciation and amortization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300,000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(Increase) in contract receivables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(200,000)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(Increase) in costs in excess of billings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(321,900)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(Increase) in materials inventory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(30,000)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(Increase) in prepaid expenses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(44,800)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Increase (decrease) in accounts payable and other working capital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(363,300)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NET CASH PROVIDED BY (USED IN) OPERATING ACTIVITIES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590,000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00"/>
        <w:gridCol w:w="2228"/>
      </w:tblGrid>
      <w:tr>
        <w:trPr>
          <w:tblHeader w:val="true"/>
        </w:trPr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Cash flows from investing activities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Purchases of property and equipment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(536,500)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NET CASH USED IN INVESTING ACTIVITIES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(536,500)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00"/>
        <w:gridCol w:w="2228"/>
      </w:tblGrid>
      <w:tr>
        <w:trPr>
          <w:tblHeader w:val="true"/>
        </w:trPr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Cash flows from financing activities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Net draws on revolving line of credit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40,000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Proceeds from equipment notes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70,000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Repayments of long-term debt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36,500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Distributions to stockholder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(140,000)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NET CASH PROVIDED BY FINANCING ACTIVITIES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6,500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Net increase (decrease) in cash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60,000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Cash at beginning of year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720,000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CASH AT END OF YEAR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780,000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5B6472"/>
          <w:sz w:val="15"/>
        </w:rPr>
        <w:t>Supplemental disclosure: cash paid for interest, $160,000. Growth in receivables, unbilled costs, and inventory was financed through operating cash flow and available credit as shown above.</w:t>
      </w:r>
    </w:p>
    <w:p>
      <w:r>
        <w:br w:type="page"/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2"/>
        </w:rPr>
        <w:t>DELTA ORCHARD CONSTRUCTION, INC.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1"/>
        </w:rPr>
        <w:t>NOTES TO FINANCIAL STATEMENTS</w:t>
      </w:r>
    </w:p>
    <w:p>
      <w:pPr>
        <w:spacing w:after="140"/>
        <w:jc w:val="center"/>
      </w:pPr>
      <w:r>
        <w:rPr>
          <w:rFonts w:ascii="Georgia" w:hAnsi="Georgia"/>
          <w:b w:val="0"/>
          <w:i w:val="0"/>
          <w:color w:val="1B2A47"/>
          <w:sz w:val="17"/>
        </w:rPr>
        <w:t>December 31, 2025</w:t>
      </w:r>
    </w:p>
    <w:p>
      <w:pPr>
        <w:spacing w:after="120"/>
        <w:pBdr>
          <w:bottom w:val="single" w:sz="6" w:color="CFC7B4"/>
        </w:pBdr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19"/>
        </w:rPr>
        <w:t>NOTE 1 — ORGANIZATION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Delta Orchard Construction, Inc. (the “Company”) is a California S corporation operating as a commercial general contractor serving developers, institutions, and public agencies throughout California. The Company self-performs selected field activities and subcontracts the balance of trades.</w:t>
      </w: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19"/>
        </w:rPr>
        <w:t>NOTE 2 — SIGNIFICANT ACCOUNTING POLICIES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Revenue recognition. Revenues from fixed-price construction contracts are recognized on the percentage-of-completion method, measured by the ratio of costs incurred to management's current estimates of total contract costs.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Contract revenue includes amounts attributable to change orders when management believes recovery is probable and the amount can be reliably estimated. Revisions to cost-to-complete estimates are recognized in the period identified.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Contract balances. Costs and estimated earnings in excess of billings represent revenue recognized ahead of amounts billable under contract terms; billings in excess of costs represent the reverse.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Use of estimates. Percentage-of-completion accounting depends on estimates of costs to complete; actual results could differ materially from those estimates in the near term.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Income taxes. The Company is an S corporation; taxable income passes to its shareholders. The Company pays California franchise tax on net income. Book income differs from taxable income principally due to long-term contract method differences.</w:t>
      </w:r>
    </w:p>
    <w:p>
      <w:r>
        <w:br w:type="page"/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2"/>
        </w:rPr>
        <w:t>DELTA ORCHARD CONSTRUCTION, INC.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1"/>
        </w:rPr>
        <w:t>NOTES TO FINANCIAL STATEMENTS (continued)</w:t>
      </w:r>
    </w:p>
    <w:p>
      <w:pPr>
        <w:spacing w:after="140"/>
        <w:jc w:val="center"/>
      </w:pPr>
      <w:r>
        <w:rPr>
          <w:rFonts w:ascii="Georgia" w:hAnsi="Georgia"/>
          <w:b w:val="0"/>
          <w:i w:val="0"/>
          <w:color w:val="1B2A47"/>
          <w:sz w:val="17"/>
        </w:rPr>
        <w:t>December 31, 2025</w:t>
      </w:r>
    </w:p>
    <w:p>
      <w:pPr>
        <w:spacing w:after="120"/>
        <w:pBdr>
          <w:bottom w:val="single" w:sz="6" w:color="CFC7B4"/>
        </w:pBdr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19"/>
        </w:rPr>
        <w:t>NOTE 3 — CONTRACTS IN PROGRESS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100"/>
        <w:gridCol w:w="2014"/>
        <w:gridCol w:w="2014"/>
      </w:tblGrid>
      <w:tr>
        <w:trPr>
          <w:tblHeader w:val="true"/>
        </w:trPr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2024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Costs and estimated earnings in excess of billings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555,000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233,100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Billings in excess of costs and estimated earnings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259,000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490,200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Costs in excess of billings at December 31, 2025 do not include material costs or estimated earnings on unapproved owner change orders.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00"/>
        <w:gridCol w:w="2228"/>
      </w:tblGrid>
      <w:tr>
        <w:trPr>
          <w:tblHeader w:val="true"/>
        </w:trPr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Project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Underbilled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Civic Center Program — Phase II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349,650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Industrial Retrofit Package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127,650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All other jobs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77,700</w:t>
            </w:r>
          </w:p>
        </w:tc>
      </w:tr>
      <w:tr>
        <w:trPr/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Total</w:t>
            </w:r>
          </w:p>
        </w:tc>
        <w:tc>
          <w:tcPr>
            <w:tcW w:type="dxa" w:w="22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555,000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The increase in underbillings to $555,000 reflects work performed ahead of billing milestones on active projects.</w:t>
      </w: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19"/>
        </w:rPr>
        <w:t>NOTE 4 — CONCENTRATIONS</w:t>
      </w: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A significant portion of contract receivables and current-year revenues may derive from a single customer. Management monitors payment performance, contractual offsets, retainage, and legal rights by project.</w:t>
      </w:r>
    </w:p>
    <w:p>
      <w:r>
        <w:br w:type="page"/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2"/>
        </w:rPr>
        <w:t>DELTA ORCHARD CONSTRUCTION, INC.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1"/>
        </w:rPr>
        <w:t>NOTES TO FINANCIAL STATEMENTS (continued)</w:t>
      </w:r>
    </w:p>
    <w:p>
      <w:pPr>
        <w:spacing w:after="140"/>
        <w:jc w:val="center"/>
      </w:pPr>
      <w:r>
        <w:rPr>
          <w:rFonts w:ascii="Georgia" w:hAnsi="Georgia"/>
          <w:b w:val="0"/>
          <w:i w:val="0"/>
          <w:color w:val="1B2A47"/>
          <w:sz w:val="17"/>
        </w:rPr>
        <w:t>December 31, 2025</w:t>
      </w:r>
    </w:p>
    <w:p>
      <w:pPr>
        <w:spacing w:after="120"/>
        <w:pBdr>
          <w:bottom w:val="single" w:sz="6" w:color="CFC7B4"/>
        </w:pBdr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19"/>
        </w:rPr>
        <w:t>NOTE 5 — LINE OF CREDIT AND LONG-TERM DEBT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100"/>
        <w:gridCol w:w="2014"/>
        <w:gridCol w:w="2014"/>
      </w:tblGrid>
      <w:tr>
        <w:trPr>
          <w:tblHeader w:val="true"/>
        </w:trPr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2024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Revolving line of credit — regional bank ($1,250,000 limit, Prime + 0.75%)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620,000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580,000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Equipment note A — excavator and loader package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313,900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413,000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Equipment note B — fleet additions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292,000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140,000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Equipment note C — forming and shoring systems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124,100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147,000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Total interest-bearing debt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1,350,000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1,280,000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Less: revolving line of credit and current portion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(770,000)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(700,000)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Long-term debt, net of current portion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580,000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580,000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1B2A47"/>
          <w:sz w:val="18"/>
        </w:rPr>
        <w:t>The revolving line of credit provides for borrowings up to $1,250,000 at Prime + 0.75%, secured by a blanket lien on business assets and the personal guaranty of the principal. Outstanding borrowings were $620,000 (50% of commitment) at December 31, 2025.</w:t>
      </w:r>
    </w:p>
    <w:p>
      <w:r>
        <w:br w:type="page"/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2"/>
        </w:rPr>
        <w:t>DELTA ORCHARD CONSTRUCTION, INC.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1"/>
        </w:rPr>
        <w:t>SUPPLEMENTARY SCHEDULE I — CONTRACT RECEIVABLES BY CUSTOMER</w:t>
      </w:r>
    </w:p>
    <w:p>
      <w:pPr>
        <w:spacing w:after="140"/>
        <w:jc w:val="center"/>
      </w:pPr>
      <w:r>
        <w:rPr>
          <w:rFonts w:ascii="Georgia" w:hAnsi="Georgia"/>
          <w:b w:val="0"/>
          <w:i w:val="0"/>
          <w:color w:val="1B2A47"/>
          <w:sz w:val="17"/>
        </w:rPr>
        <w:t>Aging as of December 31, 2025 · (whole US dollars)</w:t>
      </w:r>
    </w:p>
    <w:p>
      <w:pPr>
        <w:spacing w:after="120"/>
        <w:pBdr>
          <w:bottom w:val="single" w:sz="6" w:color="CFC7B4"/>
        </w:pBdr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900"/>
        <w:gridCol w:w="1246"/>
        <w:gridCol w:w="1246"/>
        <w:gridCol w:w="1246"/>
        <w:gridCol w:w="1246"/>
        <w:gridCol w:w="1244"/>
      </w:tblGrid>
      <w:tr>
        <w:trPr>
          <w:tblHeader w:val="true"/>
        </w:trP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Customer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Current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31–60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61–90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Over 90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Total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Central Valley Cold Storage LLC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258,500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112,800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61,100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37,600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470,000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Marlowe Property Group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325,408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132,369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71,700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22,063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551,540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Iron Horse Logistics Centers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262,384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106,732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57,813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17,791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444,720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Vantage Point Properties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199,361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81,096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43,927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13,516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337,900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Bayline Cold Storage Co.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155,630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63,307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34,291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10,552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263,780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All other (11 accounts)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343,415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139,694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75,667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23,284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582,060</w:t>
            </w:r>
          </w:p>
        </w:tc>
      </w:tr>
      <w:tr>
        <w:trPr/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TOTAL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1,544,698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635,998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344,498</w:t>
            </w:r>
          </w:p>
        </w:tc>
        <w:tc>
          <w:tcPr>
            <w:tcW w:type="dxa" w:w="1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124,806</w:t>
            </w:r>
          </w:p>
        </w:tc>
        <w:tc>
          <w:tcPr>
            <w:tcW w:type="dxa" w:w="12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2,650,000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5B6472"/>
          <w:sz w:val="16"/>
        </w:rPr>
        <w:t>Retainage is included above within contractual terms and is not past due. The largest customer, Central Valley Cold Storage LLC, represents 17.7% of total contract receivables at December 31, 2025 (2024: largest customer 17%).</w:t>
      </w:r>
    </w:p>
    <w:p>
      <w:r>
        <w:br w:type="page"/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2"/>
        </w:rPr>
        <w:t>DELTA ORCHARD CONSTRUCTION, INC.</w:t>
      </w:r>
    </w:p>
    <w:p>
      <w:pPr>
        <w:spacing w:after="40"/>
        <w:jc w:val="center"/>
      </w:pPr>
      <w:r>
        <w:rPr>
          <w:rFonts w:ascii="Georgia" w:hAnsi="Georgia"/>
          <w:b w:val="0"/>
          <w:i w:val="0"/>
          <w:color w:val="1B2A47"/>
          <w:sz w:val="21"/>
        </w:rPr>
        <w:t>SUPPLEMENTARY SCHEDULE II — SELECTED FINANCIAL DATA (UNAUDITED)</w:t>
      </w:r>
    </w:p>
    <w:p>
      <w:pPr>
        <w:spacing w:after="140"/>
        <w:jc w:val="center"/>
      </w:pPr>
      <w:r>
        <w:rPr>
          <w:rFonts w:ascii="Georgia" w:hAnsi="Georgia"/>
          <w:b w:val="0"/>
          <w:i w:val="0"/>
          <w:color w:val="1B2A47"/>
          <w:sz w:val="17"/>
        </w:rPr>
        <w:t>Years Ended December 31, 2025 and 2024</w:t>
      </w:r>
    </w:p>
    <w:p>
      <w:pPr>
        <w:spacing w:after="120"/>
        <w:pBdr>
          <w:bottom w:val="single" w:sz="6" w:color="CFC7B4"/>
        </w:pBdr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19"/>
        </w:rPr>
        <w:t>EBITDA reconciliation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100"/>
        <w:gridCol w:w="2014"/>
        <w:gridCol w:w="2014"/>
      </w:tblGrid>
      <w:tr>
        <w:trPr>
          <w:tblHeader w:val="true"/>
        </w:trPr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2024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Net income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1,250,000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1,100,000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State franchise taxes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Interest expense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160,000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89,600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Depreciation and amortization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290,000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330,400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EBITDA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1,720,000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1,540,000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19"/>
        </w:rPr>
        <w:t>Selected ratios and data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100"/>
        <w:gridCol w:w="2014"/>
        <w:gridCol w:w="2014"/>
      </w:tblGrid>
      <w:tr>
        <w:trPr>
          <w:tblHeader w:val="true"/>
        </w:trPr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2025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bottom w:val="single" w:sz="8" w:color="1B2A47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2024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Revenue growth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+7.6%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—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Gross margin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18.4%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18.0%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EBITDA margin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9.3%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9.0%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Total interest-bearing debt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1,350,000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1,280,000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Line utilization at year end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50%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46%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Average full-time employees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36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 w:val="0"/>
                <w:i w:val="0"/>
                <w:color w:val="1B2A47"/>
                <w:sz w:val="19"/>
              </w:rPr>
              <w:t>34</w:t>
            </w:r>
          </w:p>
        </w:tc>
      </w:tr>
      <w:tr>
        <w:trPr/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Distributions to stockholder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140,000</w:t>
            </w:r>
          </w:p>
        </w:tc>
        <w:tc>
          <w:tcPr>
            <w:tcW w:type="dxa" w:w="20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8" w:color="1B2A47"/>
              <w:bottom w:val="double" w:sz="8" w:color="1B2A47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Georgia" w:hAnsi="Georgia"/>
                <w:b/>
                <w:i w:val="0"/>
                <w:color w:val="1B2A47"/>
                <w:sz w:val="19"/>
              </w:rPr>
              <w:t>126,000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Georgia" w:hAnsi="Georgia"/>
          <w:b w:val="0"/>
          <w:i w:val="0"/>
          <w:color w:val="5B6472"/>
          <w:sz w:val="15"/>
        </w:rPr>
        <w:t>This schedule is presented for supplementary analysis purposes and is derived from the accompanying financial statements.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979" w:left="1080" w:header="288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10080"/>
      <w:jc w:val="left"/>
      <w:tblLayout w:type="fixed"/>
      <w:tblLook w:firstColumn="1" w:firstRow="1" w:lastColumn="0" w:lastRow="0" w:noHBand="0" w:noVBand="1" w:val="04A0"/>
      <w:tblInd w:type="dxa" w:w="0"/>
    </w:tblPr>
    <w:tblGrid>
      <w:gridCol w:w="5040"/>
      <w:gridCol w:w="5040"/>
    </w:tblGrid>
    <w:tr>
      <w:trPr/>
      <w:tc>
        <w:tcPr>
          <w:tcW w:type="dxa" w:w="5040"/>
          <w:tcMar>
            <w:top w:w="65" w:type="dxa"/>
            <w:bottom w:w="0" w:type="dxa"/>
            <w:start w:w="0" w:type="dxa"/>
            <w:end w:w="0" w:type="dxa"/>
          </w:tcMar>
          <w:tcBorders>
            <w:top w:val="single" w:sz="5" w:color="CFC7B4"/>
            <w:bottom w:val="nil"/>
            <w:start w:val="nil"/>
            <w:end w:val="nil"/>
          </w:tcBorders>
        </w:tcPr>
        <w:p>
          <w:pPr>
            <w:spacing w:after="0"/>
          </w:pPr>
          <w:r>
            <w:rPr>
              <w:rFonts w:ascii="Arial" w:hAnsi="Arial"/>
              <w:b w:val="0"/>
              <w:i w:val="0"/>
              <w:color w:val="5B6472"/>
              <w:sz w:val="13"/>
            </w:rPr>
            <w:t>SPECIMEN · Fictional data prepared for product demonstration</w:t>
          </w:r>
        </w:p>
      </w:tc>
      <w:tc>
        <w:tcPr>
          <w:tcW w:type="dxa" w:w="5040"/>
          <w:tcMar>
            <w:top w:w="65" w:type="dxa"/>
            <w:bottom w:w="0" w:type="dxa"/>
            <w:start w:w="0" w:type="dxa"/>
            <w:end w:w="0" w:type="dxa"/>
          </w:tcMar>
          <w:tcBorders>
            <w:top w:val="single" w:sz="5" w:color="CFC7B4"/>
            <w:bottom w:val="nil"/>
            <w:start w:val="nil"/>
            <w:end w:val="nil"/>
          </w:tcBorders>
        </w:tcPr>
        <w:p>
          <w:pPr>
            <w:spacing w:after="0"/>
            <w:jc w:val="right"/>
          </w:pPr>
          <w:r>
            <w:rPr>
              <w:rFonts w:ascii="Arial" w:hAnsi="Arial"/>
              <w:b w:val="0"/>
              <w:i w:val="0"/>
              <w:color w:val="5B6472"/>
              <w:sz w:val="13"/>
            </w:rPr>
            <w:t xml:space="preserve">Delta Orchard Construction, Inc. — Financial Statements · Page </w:t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t xml:space="preserve"> of </w:t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Georgia" w:hAnsi="Georgia"/>
      <w:color w:val="1B2A4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Georgia" w:hAnsi="Georgia"/>
      <w:b/>
      <w:bCs/>
      <w:color w:val="1B2A47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Georgia" w:hAnsi="Georgia"/>
      <w:b/>
      <w:bCs/>
      <w:color w:val="1B2A4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Georgia" w:hAnsi="Georgia"/>
      <w:b/>
      <w:bCs/>
      <w:color w:val="1B2A4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Financial Statements</dc:title>
  <dc:subject>Sigma parser fixture: 06_incomplete_resubmission</dc:subject>
  <dc:creator>Sigma Fictional Test Fixture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